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Notice</w:t>
      </w:r>
    </w:p>
    <w:p>
      <w:pPr>
        <w:ind w:left="567"/>
      </w:pPr>
      <w:r>
        <w:rPr>
          <w:b/>
          <w:i/>
          <w:color w:val="666666"/>
        </w:rPr>
        <w:t>Template only. Review with a qualified Australian legal advisor before use.</w:t>
      </w:r>
    </w:p>
    <w:p>
      <w:pPr>
        <w:ind w:left="567"/>
      </w:pPr>
      <w:r>
        <w:rPr>
          <w:b/>
          <w:i/>
          <w:color w:val="666666"/>
        </w:rPr>
        <w:t>About this document.</w:t>
      </w:r>
      <w:r>
        <w:rPr>
          <w:i/>
          <w:color w:val="666666"/>
        </w:rPr>
        <w:t xml:space="preserve"> Client-facing notice. Publish on your website and provide to clients at or before collection.</w:t>
      </w:r>
    </w:p>
    <w:tbl>
      <w:tblPr>
        <w:tblW w:type="auto" w:w="0"/>
        <w:jc w:val="left"/>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4819"/>
        <w:gridCol w:w="4819"/>
      </w:tblGrid>
      <w:tr>
        <w:tc>
          <w:tcPr>
            <w:tcW w:type="dxa" w:w="4819"/>
            <w:shd w:val="clear" w:color="auto" w:fill="F2F2F2"/>
          </w:tcPr>
          <w:p>
            <w:pPr>
              <w:spacing w:after="40"/>
            </w:pPr>
            <w:r>
              <w:rPr>
                <w:b/>
              </w:rPr>
            </w:r>
            <w:r>
              <w:rPr>
                <w:b/>
              </w:rPr>
              <w:t>Field</w:t>
            </w:r>
          </w:p>
        </w:tc>
        <w:tc>
          <w:tcPr>
            <w:tcW w:type="dxa" w:w="4819"/>
            <w:shd w:val="clear" w:color="auto" w:fill="F2F2F2"/>
          </w:tcPr>
          <w:p>
            <w:pPr>
              <w:spacing w:after="40"/>
            </w:pPr>
            <w:r>
              <w:rPr>
                <w:b/>
              </w:rPr>
            </w:r>
            <w:r>
              <w:rPr>
                <w:b/>
              </w:rPr>
              <w:t>Value</w:t>
            </w:r>
          </w:p>
        </w:tc>
      </w:tr>
      <w:tr>
        <w:tc>
          <w:tcPr>
            <w:tcW w:type="dxa" w:w="4819"/>
          </w:tcPr>
          <w:p>
            <w:pPr>
              <w:spacing w:after="40"/>
            </w:pPr>
            <w:r/>
            <w:r>
              <w:rPr>
                <w:b/>
              </w:rPr>
              <w:t>Title</w:t>
            </w:r>
          </w:p>
        </w:tc>
        <w:tc>
          <w:tcPr>
            <w:tcW w:type="dxa" w:w="4819"/>
          </w:tcPr>
          <w:p>
            <w:pPr>
              <w:spacing w:after="40"/>
            </w:pPr>
            <w:r/>
            <w:r>
              <w:t>Privacy Notice</w:t>
            </w:r>
          </w:p>
        </w:tc>
      </w:tr>
      <w:tr>
        <w:tc>
          <w:tcPr>
            <w:tcW w:type="dxa" w:w="4819"/>
          </w:tcPr>
          <w:p>
            <w:pPr>
              <w:spacing w:after="40"/>
            </w:pPr>
            <w:r/>
            <w:r>
              <w:rPr>
                <w:b/>
              </w:rPr>
              <w:t>Organisation</w:t>
            </w:r>
          </w:p>
        </w:tc>
        <w:tc>
          <w:tcPr>
            <w:tcW w:type="dxa" w:w="4819"/>
          </w:tcPr>
          <w:p>
            <w:pPr>
              <w:spacing w:after="40"/>
            </w:pPr>
            <w:r/>
            <w:r>
              <w:t>Your Practice Name</w:t>
            </w:r>
          </w:p>
        </w:tc>
      </w:tr>
      <w:tr>
        <w:tc>
          <w:tcPr>
            <w:tcW w:type="dxa" w:w="4819"/>
          </w:tcPr>
          <w:p>
            <w:pPr>
              <w:spacing w:after="40"/>
            </w:pPr>
            <w:r/>
            <w:r>
              <w:rPr>
                <w:b/>
              </w:rPr>
              <w:t>Document ID</w:t>
            </w:r>
          </w:p>
        </w:tc>
        <w:tc>
          <w:tcPr>
            <w:tcW w:type="dxa" w:w="4819"/>
          </w:tcPr>
          <w:p>
            <w:pPr>
              <w:spacing w:after="40"/>
            </w:pPr>
            <w:r/>
            <w:r>
              <w:t>PRIV-001</w:t>
            </w:r>
          </w:p>
        </w:tc>
      </w:tr>
      <w:tr>
        <w:tc>
          <w:tcPr>
            <w:tcW w:type="dxa" w:w="4819"/>
          </w:tcPr>
          <w:p>
            <w:pPr>
              <w:spacing w:after="40"/>
            </w:pPr>
            <w:r/>
            <w:r>
              <w:rPr>
                <w:b/>
              </w:rPr>
              <w:t>Version</w:t>
            </w:r>
          </w:p>
        </w:tc>
        <w:tc>
          <w:tcPr>
            <w:tcW w:type="dxa" w:w="4819"/>
          </w:tcPr>
          <w:p>
            <w:pPr>
              <w:spacing w:after="40"/>
            </w:pPr>
            <w:r/>
            <w:r>
              <w:t>1.1</w:t>
            </w:r>
          </w:p>
        </w:tc>
      </w:tr>
      <w:tr>
        <w:tc>
          <w:tcPr>
            <w:tcW w:type="dxa" w:w="4819"/>
          </w:tcPr>
          <w:p>
            <w:pPr>
              <w:spacing w:after="40"/>
            </w:pPr>
            <w:r/>
            <w:r>
              <w:rPr>
                <w:b/>
              </w:rPr>
              <w:t>Last updated</w:t>
            </w:r>
          </w:p>
        </w:tc>
        <w:tc>
          <w:tcPr>
            <w:tcW w:type="dxa" w:w="4819"/>
          </w:tcPr>
          <w:p>
            <w:pPr>
              <w:spacing w:after="40"/>
            </w:pPr>
            <w:r/>
            <w:r>
              <w:t>2026-05-10</w:t>
            </w:r>
          </w:p>
        </w:tc>
      </w:tr>
      <w:tr>
        <w:tc>
          <w:tcPr>
            <w:tcW w:type="dxa" w:w="4819"/>
          </w:tcPr>
          <w:p>
            <w:pPr>
              <w:spacing w:after="40"/>
            </w:pPr>
            <w:r/>
            <w:r>
              <w:rPr>
                <w:b/>
              </w:rPr>
              <w:t>Classification</w:t>
            </w:r>
          </w:p>
        </w:tc>
        <w:tc>
          <w:tcPr>
            <w:tcW w:type="dxa" w:w="4819"/>
          </w:tcPr>
          <w:p>
            <w:pPr>
              <w:spacing w:after="40"/>
            </w:pPr>
            <w:r/>
            <w:r>
              <w:t>Public</w:t>
            </w:r>
          </w:p>
        </w:tc>
      </w:tr>
    </w:tbl>
    <w:p>
      <w:pPr>
        <w:spacing w:before="120"/>
      </w:pPr>
      <w:r>
        <w:rPr>
          <w:b/>
        </w:rPr>
        <w:t>Australian Business Number:</w:t>
      </w:r>
      <w:r>
        <w:t xml:space="preserve"> [Australian Business Number]</w:t>
      </w:r>
      <w:r>
        <w:t xml:space="preserve"> </w:t>
      </w:r>
      <w:r>
        <w:rPr>
          <w:b/>
        </w:rPr>
        <w:t>Framework:</w:t>
      </w:r>
      <w:r>
        <w:t xml:space="preserve"> Privacy Act 1988 (Cth) and the Australian Privacy Principles.</w:t>
      </w:r>
    </w:p>
    <w:p>
      <w:pPr>
        <w:pStyle w:val="Heading2"/>
      </w:pPr>
      <w:r>
        <w:t>1. About This Notice</w:t>
      </w:r>
    </w:p>
    <w:p>
      <w:r>
        <w:t>This Privacy Notice explains how Your Practice Name (Australian Business Number [Australian Business Number]) ("we", "us", "our") collects, uses, stores</w:t>
      </w:r>
      <w:r>
        <w:t xml:space="preserve"> </w:t>
      </w:r>
      <w:r>
        <w:t>and discloses your personal information. It applies to all personal information we handle, whether</w:t>
      </w:r>
      <w:r>
        <w:t xml:space="preserve"> </w:t>
      </w:r>
      <w:r>
        <w:t>collected online or in person.</w:t>
      </w:r>
    </w:p>
    <w:p>
      <w:r>
        <w:t xml:space="preserve">We are bound by the </w:t>
      </w:r>
      <w:r>
        <w:rPr>
          <w:i/>
        </w:rPr>
        <w:t>Privacy Act 1988</w:t>
      </w:r>
      <w:r>
        <w:t xml:space="preserve"> (Cth) and the 13 Australian Privacy Principles.</w:t>
      </w:r>
    </w:p>
    <w:p>
      <w:pPr>
        <w:pStyle w:val="Heading2"/>
      </w:pPr>
      <w:r>
        <w:t>2. Information We Collect</w:t>
      </w:r>
    </w:p>
    <w:p>
      <w:r>
        <w:t>We may collect the following categories of personal information and use it in the ways outlined below.</w:t>
      </w:r>
    </w:p>
    <w:p>
      <w:pPr>
        <w:spacing w:before="120" w:after="120"/>
        <w:ind w:left="567"/>
        <w:shd w:val="clear" w:color="auto" w:fill="FFF4CE"/>
        <w:pBdr>
          <w:left w:val="single" w:sz="18" w:space="6" w:color="E8A33D"/>
          <w:top w:val="single" w:sz="4" w:space="4" w:color="E8A33D"/>
          <w:right w:val="single" w:sz="4" w:space="4" w:color="E8A33D"/>
          <w:bottom w:val="single" w:sz="4" w:space="4" w:color="E8A33D"/>
        </w:pBdr>
      </w:pPr>
      <w:r>
        <w:rPr>
          <w:b/>
          <w:color w:val="8A4C00"/>
        </w:rPr>
        <w:t>Tailor —</w:t>
      </w:r>
      <w:r>
        <w:t xml:space="preserve"> </w:t>
      </w:r>
      <w:r>
        <w:rPr>
          <w:i/>
        </w:rPr>
        <w:t>The categories below are illustrative for a typical accounting / health / real-estate / trust-services / precious-metals practice. Confirm each row matches what your organisation actually collects; remove rows that don't apply, and add rows for anything specific to your service mix. Delete this italicised note before publishing.</w:t>
      </w:r>
    </w:p>
    <w:tbl>
      <w:tblPr>
        <w:tblW w:type="auto" w:w="0"/>
        <w:jc w:val="left"/>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3213"/>
        <w:gridCol w:w="3213"/>
        <w:gridCol w:w="3213"/>
      </w:tblGrid>
      <w:tr>
        <w:tc>
          <w:tcPr>
            <w:tcW w:type="dxa" w:w="3213"/>
            <w:shd w:val="clear" w:color="auto" w:fill="F2F2F2"/>
          </w:tcPr>
          <w:p>
            <w:pPr>
              <w:spacing w:after="40"/>
            </w:pPr>
            <w:r>
              <w:rPr>
                <w:b/>
              </w:rPr>
            </w:r>
            <w:r>
              <w:rPr>
                <w:b/>
              </w:rPr>
              <w:t>Category</w:t>
            </w:r>
          </w:p>
        </w:tc>
        <w:tc>
          <w:tcPr>
            <w:tcW w:type="dxa" w:w="3213"/>
            <w:shd w:val="clear" w:color="auto" w:fill="F2F2F2"/>
          </w:tcPr>
          <w:p>
            <w:pPr>
              <w:spacing w:after="40"/>
            </w:pPr>
            <w:r>
              <w:rPr>
                <w:b/>
              </w:rPr>
            </w:r>
            <w:r>
              <w:rPr>
                <w:b/>
              </w:rPr>
              <w:t>Examples</w:t>
            </w:r>
          </w:p>
        </w:tc>
        <w:tc>
          <w:tcPr>
            <w:tcW w:type="dxa" w:w="3213"/>
            <w:shd w:val="clear" w:color="auto" w:fill="F2F2F2"/>
          </w:tcPr>
          <w:p>
            <w:pPr>
              <w:spacing w:after="40"/>
            </w:pPr>
            <w:r>
              <w:rPr>
                <w:b/>
              </w:rPr>
            </w:r>
            <w:r>
              <w:rPr>
                <w:b/>
              </w:rPr>
              <w:t>Why we collect it</w:t>
            </w:r>
          </w:p>
        </w:tc>
      </w:tr>
      <w:tr>
        <w:tc>
          <w:tcPr>
            <w:tcW w:type="dxa" w:w="3213"/>
          </w:tcPr>
          <w:p>
            <w:pPr>
              <w:spacing w:after="40"/>
            </w:pPr>
            <w:r/>
            <w:r>
              <w:t>Identity</w:t>
            </w:r>
          </w:p>
        </w:tc>
        <w:tc>
          <w:tcPr>
            <w:tcW w:type="dxa" w:w="3213"/>
          </w:tcPr>
          <w:p>
            <w:pPr>
              <w:spacing w:after="40"/>
            </w:pPr>
            <w:r/>
            <w:r>
              <w:t>Name, date of birth, government-issued identification</w:t>
            </w:r>
          </w:p>
        </w:tc>
        <w:tc>
          <w:tcPr>
            <w:tcW w:type="dxa" w:w="3213"/>
          </w:tcPr>
          <w:p>
            <w:pPr>
              <w:spacing w:after="40"/>
            </w:pPr>
            <w:r/>
            <w:r>
              <w:t>To verify who you are so we can engage you as a client and meet our customer identification obligations under the Anti-Money Laundering and Counter-Terrorism Financing Act 2006 (Cth).</w:t>
            </w:r>
          </w:p>
        </w:tc>
      </w:tr>
      <w:tr>
        <w:tc>
          <w:tcPr>
            <w:tcW w:type="dxa" w:w="3213"/>
          </w:tcPr>
          <w:p>
            <w:pPr>
              <w:spacing w:after="40"/>
            </w:pPr>
            <w:r/>
            <w:r>
              <w:t>Contact</w:t>
            </w:r>
          </w:p>
        </w:tc>
        <w:tc>
          <w:tcPr>
            <w:tcW w:type="dxa" w:w="3213"/>
          </w:tcPr>
          <w:p>
            <w:pPr>
              <w:spacing w:after="40"/>
            </w:pPr>
            <w:r/>
            <w:r>
              <w:t>Email, phone, residential and postal address</w:t>
            </w:r>
          </w:p>
        </w:tc>
        <w:tc>
          <w:tcPr>
            <w:tcW w:type="dxa" w:w="3213"/>
          </w:tcPr>
          <w:p>
            <w:pPr>
              <w:spacing w:after="40"/>
            </w:pPr>
            <w:r/>
            <w:r>
              <w:t>To communicate with you about your matter, deliver the service you have engaged us for, and (with your consent or where you would reasonably expect it) to send you marketing or service updates from which you can unsubscribe at any time.</w:t>
            </w:r>
          </w:p>
        </w:tc>
      </w:tr>
      <w:tr>
        <w:tc>
          <w:tcPr>
            <w:tcW w:type="dxa" w:w="3213"/>
          </w:tcPr>
          <w:p>
            <w:pPr>
              <w:spacing w:after="40"/>
            </w:pPr>
            <w:r/>
            <w:r>
              <w:t>Financial</w:t>
            </w:r>
          </w:p>
        </w:tc>
        <w:tc>
          <w:tcPr>
            <w:tcW w:type="dxa" w:w="3213"/>
          </w:tcPr>
          <w:p>
            <w:pPr>
              <w:spacing w:after="40"/>
            </w:pPr>
            <w:r/>
            <w:r>
              <w:t>Bank account details, source of funds, transaction data</w:t>
            </w:r>
          </w:p>
        </w:tc>
        <w:tc>
          <w:tcPr>
            <w:tcW w:type="dxa" w:w="3213"/>
          </w:tcPr>
          <w:p>
            <w:pPr>
              <w:spacing w:after="40"/>
            </w:pPr>
            <w:r/>
            <w:r>
              <w:t>To deliver the financial elements of our service, invoice and receive payment, and meet our Anti-Money Laundering and Counter-Terrorism Financing compliance obligations.</w:t>
            </w:r>
          </w:p>
        </w:tc>
      </w:tr>
      <w:tr>
        <w:tc>
          <w:tcPr>
            <w:tcW w:type="dxa" w:w="3213"/>
          </w:tcPr>
          <w:p>
            <w:pPr>
              <w:spacing w:after="40"/>
            </w:pPr>
            <w:r/>
            <w:r>
              <w:t>Engagement</w:t>
            </w:r>
          </w:p>
        </w:tc>
        <w:tc>
          <w:tcPr>
            <w:tcW w:type="dxa" w:w="3213"/>
          </w:tcPr>
          <w:p>
            <w:pPr>
              <w:spacing w:after="40"/>
            </w:pPr>
            <w:r/>
            <w:r>
              <w:t>Matter / file information, instructions, scope-of-work details</w:t>
            </w:r>
          </w:p>
        </w:tc>
        <w:tc>
          <w:tcPr>
            <w:tcW w:type="dxa" w:w="3213"/>
          </w:tcPr>
          <w:p>
            <w:pPr>
              <w:spacing w:after="40"/>
            </w:pPr>
            <w:r/>
            <w:r>
              <w:t>To provide the professional service you have engaged us for, manage the file lifecycle, and meet our quality and record-keeping obligations.</w:t>
            </w:r>
          </w:p>
        </w:tc>
      </w:tr>
      <w:tr>
        <w:tc>
          <w:tcPr>
            <w:tcW w:type="dxa" w:w="3213"/>
          </w:tcPr>
          <w:p>
            <w:pPr>
              <w:spacing w:after="40"/>
            </w:pPr>
            <w:r/>
            <w:r>
              <w:t>Communications</w:t>
            </w:r>
          </w:p>
        </w:tc>
        <w:tc>
          <w:tcPr>
            <w:tcW w:type="dxa" w:w="3213"/>
          </w:tcPr>
          <w:p>
            <w:pPr>
              <w:spacing w:after="40"/>
            </w:pPr>
            <w:r/>
            <w:r>
              <w:t>Correspondence, file notes, voicemails</w:t>
            </w:r>
          </w:p>
        </w:tc>
        <w:tc>
          <w:tcPr>
            <w:tcW w:type="dxa" w:w="3213"/>
          </w:tcPr>
          <w:p>
            <w:pPr>
              <w:spacing w:after="40"/>
            </w:pPr>
            <w:r/>
            <w:r>
              <w:t>To deliver the service, maintain a record of our advice and instructions, and (where applicable and lawful) for direct marketing of related services from which you can unsubscribe.</w:t>
            </w:r>
          </w:p>
        </w:tc>
      </w:tr>
      <w:tr>
        <w:tc>
          <w:tcPr>
            <w:tcW w:type="dxa" w:w="3213"/>
          </w:tcPr>
          <w:p>
            <w:pPr>
              <w:spacing w:after="40"/>
            </w:pPr>
            <w:r/>
            <w:r>
              <w:t>Health information</w:t>
            </w:r>
          </w:p>
        </w:tc>
        <w:tc>
          <w:tcPr>
            <w:tcW w:type="dxa" w:w="3213"/>
          </w:tcPr>
          <w:p>
            <w:pPr>
              <w:spacing w:after="40"/>
            </w:pPr>
            <w:r/>
            <w:r>
              <w:t>Medical history, Medicare details, treatment notes — where you have given consent or it is required by law</w:t>
            </w:r>
          </w:p>
        </w:tc>
        <w:tc>
          <w:tcPr>
            <w:tcW w:type="dxa" w:w="3213"/>
          </w:tcPr>
          <w:p>
            <w:pPr>
              <w:spacing w:after="40"/>
            </w:pPr>
            <w:r/>
            <w:r>
              <w:t xml:space="preserve">Only collected where it is necessary for a service you have engaged us for (e.g. a health-related matter) or is required by law. We do </w:t>
            </w:r>
            <w:r>
              <w:rPr>
                <w:b/>
              </w:rPr>
              <w:t>not</w:t>
            </w:r>
            <w:r>
              <w:t xml:space="preserve"> use health information for marketing.</w:t>
            </w:r>
          </w:p>
        </w:tc>
      </w:tr>
      <w:tr>
        <w:tc>
          <w:tcPr>
            <w:tcW w:type="dxa" w:w="3213"/>
          </w:tcPr>
          <w:p>
            <w:pPr>
              <w:spacing w:after="40"/>
            </w:pPr>
            <w:r/>
            <w:r>
              <w:t>Marketing preferences</w:t>
            </w:r>
          </w:p>
        </w:tc>
        <w:tc>
          <w:tcPr>
            <w:tcW w:type="dxa" w:w="3213"/>
          </w:tcPr>
          <w:p>
            <w:pPr>
              <w:spacing w:after="40"/>
            </w:pPr>
            <w:r/>
            <w:r>
              <w:t>Subscription status, opt-outs, engagement with our communications</w:t>
            </w:r>
          </w:p>
        </w:tc>
        <w:tc>
          <w:tcPr>
            <w:tcW w:type="dxa" w:w="3213"/>
          </w:tcPr>
          <w:p>
            <w:pPr>
              <w:spacing w:after="40"/>
            </w:pPr>
            <w:r/>
            <w:r>
              <w:t>To honour your marketing preferences and to send only the communications you have agreed to receive. You can opt out at any time.</w:t>
            </w:r>
          </w:p>
        </w:tc>
      </w:tr>
    </w:tbl>
    <w:p>
      <w:pPr>
        <w:pStyle w:val="Heading3"/>
      </w:pPr>
      <w:r>
        <w:t>Sensitive information</w:t>
      </w:r>
    </w:p>
    <w:p>
      <w:r>
        <w:t xml:space="preserve">We only collect sensitive information (such as health information) where you have given consent (Australian Privacy Principle 3.3) or where collection is required or authorised by Australian law. Sensitive information is </w:t>
      </w:r>
      <w:r>
        <w:rPr>
          <w:b/>
        </w:rPr>
        <w:t>never</w:t>
      </w:r>
      <w:r>
        <w:t xml:space="preserve"> used for direct marketing.</w:t>
      </w:r>
    </w:p>
    <w:p>
      <w:pPr>
        <w:pStyle w:val="Heading2"/>
      </w:pPr>
      <w:r>
        <w:t>3. How We Collect Information</w:t>
      </w:r>
    </w:p>
    <w:p>
      <w:r>
        <w:t>We collect personal information:</w:t>
      </w:r>
    </w:p>
    <w:p>
      <w:pPr>
        <w:pStyle w:val="ListBullet"/>
      </w:pPr>
      <w:r>
        <w:rPr>
          <w:b/>
        </w:rPr>
        <w:t>Directly from you</w:t>
      </w:r>
      <w:r>
        <w:t xml:space="preserve"> — when you engage us, complete onboarding, or correspond with us</w:t>
      </w:r>
    </w:p>
    <w:p>
      <w:pPr>
        <w:pStyle w:val="ListBullet"/>
      </w:pPr>
      <w:r>
        <w:rPr>
          <w:b/>
        </w:rPr>
        <w:t>From third parties</w:t>
      </w:r>
      <w:r>
        <w:t xml:space="preserve"> — from your previous adviser or practitioner (with your authorisation), from DVS-aligned identity verification providers, and from regulators (for example Australian Taxation Office or AUSTRAC notices)</w:t>
      </w:r>
    </w:p>
    <w:p>
      <w:pPr>
        <w:pStyle w:val="ListBullet"/>
      </w:pPr>
      <w:r>
        <w:rPr>
          <w:b/>
        </w:rPr>
        <w:t>Automatically</w:t>
      </w:r>
      <w:r>
        <w:t xml:space="preserve"> — limited technical information (such as IP address) when you use our website</w:t>
      </w:r>
    </w:p>
    <w:p>
      <w:pPr>
        <w:pStyle w:val="Heading2"/>
      </w:pPr>
      <w:r>
        <w:t>4. Why We Collect and Use Your Information</w:t>
      </w:r>
    </w:p>
    <w:p>
      <w:r>
        <w:t>We collect and use personal information to:</w:t>
      </w:r>
    </w:p>
    <w:p>
      <w:pPr>
        <w:pStyle w:val="ListBullet"/>
      </w:pPr>
      <w:r>
        <w:t>Provide our professional services to you.</w:t>
      </w:r>
    </w:p>
    <w:p>
      <w:pPr>
        <w:pStyle w:val="ListBullet"/>
      </w:pPr>
      <w:r>
        <w:t>Meet our customer identification and Customer Due Diligence obligations under the Anti-Money Laundering and Counter-Terrorism Financing Act 2006 (Cth).</w:t>
      </w:r>
    </w:p>
    <w:p>
      <w:pPr>
        <w:pStyle w:val="ListBullet"/>
      </w:pPr>
      <w:r>
        <w:t>Fulfil our obligations under applicable laws (taxation, professional conduct rules, sector-specific obligations).</w:t>
      </w:r>
    </w:p>
    <w:p>
      <w:pPr>
        <w:pStyle w:val="ListBullet"/>
      </w:pPr>
      <w:r>
        <w:t>Communicate with you about your matter or engagement.</w:t>
      </w:r>
    </w:p>
    <w:p>
      <w:pPr>
        <w:pStyle w:val="ListBullet"/>
      </w:pPr>
      <w:r>
        <w:t>Manage our practice (billing, records).</w:t>
      </w:r>
    </w:p>
    <w:p>
      <w:pPr>
        <w:pStyle w:val="ListBullet"/>
      </w:pPr>
      <w:r>
        <w:t>Send you direct marketing about related services we offer, where this is permitted by Australian Privacy Principle 7 and you have not opted out (sensitive information, including health information, is never used for marketing).</w:t>
      </w:r>
    </w:p>
    <w:p>
      <w:r>
        <w:rPr>
          <w:b/>
        </w:rPr>
        <w:t>Grounds for collection (Australian Privacy Principle 3):</w:t>
      </w:r>
    </w:p>
    <w:p>
      <w:pPr>
        <w:pStyle w:val="ListBullet"/>
      </w:pPr>
      <w:r>
        <w:t>Australian Privacy Principle 3.2 — necessary for one of our functions or activities (delivering the engaged service)</w:t>
      </w:r>
    </w:p>
    <w:p>
      <w:pPr>
        <w:pStyle w:val="ListBullet"/>
      </w:pPr>
      <w:r>
        <w:t>Australian Privacy Principle 3.4(a) — required or authorised by Australian law (for example Anti-Money Laundering and Counter-Terrorism Financing Act 2006 ss.28-37, Taxation Administration Act 1953)</w:t>
      </w:r>
    </w:p>
    <w:p>
      <w:pPr>
        <w:pStyle w:val="ListBullet"/>
      </w:pPr>
      <w:r>
        <w:t>Australian Privacy Principle 3.3 — sensitive information collected with consent</w:t>
      </w:r>
    </w:p>
    <w:p>
      <w:pPr>
        <w:pStyle w:val="Heading2"/>
      </w:pPr>
      <w:r>
        <w:t>5. What we do with your information</w:t>
      </w:r>
    </w:p>
    <w:p>
      <w:r>
        <w:t>This section explains, in plain language, what happens to your information once we have it. For the formal text of the 13 Australian Privacy Principles, see the Office of the Australian Information Commissioner's published guide at &lt;https://www.oaic.gov.au/privacy/australian-privacy-principles&gt;.</w:t>
      </w:r>
    </w:p>
    <w:p>
      <w:pPr>
        <w:spacing w:before="120"/>
      </w:pPr>
      <w:r>
        <w:rPr>
          <w:b/>
        </w:rPr>
        <w:t>What we collect.</w:t>
      </w:r>
      <w:r>
        <w:t xml:space="preserve"> We collect the categories of information described in section 2 above — broadly: who you are, how to contact you, financial and engagement details, and (only where necessary) sensitive information such as health information. The table in section 2 is the authoritative summary.</w:t>
      </w:r>
    </w:p>
    <w:p>
      <w:pPr>
        <w:spacing w:before="120"/>
      </w:pPr>
      <w:r>
        <w:rPr>
          <w:b/>
        </w:rPr>
        <w:t>Why we collect it.</w:t>
      </w:r>
      <w:r>
        <w:t xml:space="preserve"> We collect what we need to do the work you have engaged us for, and to meet our obligations under Australian law — including AML/CTF customer identification, tax law, and the professional rules that apply to our practice. We do not collect information we do not need.</w:t>
      </w:r>
    </w:p>
    <w:p>
      <w:pPr>
        <w:spacing w:before="120"/>
      </w:pPr>
      <w:r>
        <w:rPr>
          <w:b/>
        </w:rPr>
        <w:t>Who we share it with.</w:t>
      </w:r>
      <w:r>
        <w:t xml:space="preserve"> We share your information with the recipients listed in the Recipients section below. We share only what is needed to deliver the service, or what we are required by law to share. We do not sell your information.</w:t>
      </w:r>
    </w:p>
    <w:p>
      <w:pPr>
        <w:spacing w:before="120"/>
      </w:pPr>
      <w:r>
        <w:rPr>
          <w:b/>
        </w:rPr>
        <w:t>Where it goes overseas.</w:t>
      </w:r>
      <w:r>
        <w:t xml:space="preserve"> Where any of your information is hosted or processed outside Australia, we take reasonable steps to ensure the recipient handles it consistently with the Australian Privacy Principles. See section 8 below for how to find out which overseas countries your information may be disclosed to.</w:t>
      </w:r>
    </w:p>
    <w:p>
      <w:pPr>
        <w:spacing w:before="120"/>
      </w:pPr>
      <w:r>
        <w:rPr>
          <w:b/>
        </w:rPr>
        <w:t>How long we keep it.</w:t>
      </w:r>
      <w:r>
        <w:t xml:space="preserve"> We keep information only as long as we need it, or for the period Australian law requires. The Retention table in section 6 sets out the periods that apply to the main categories of records we hold.</w:t>
      </w:r>
    </w:p>
    <w:p>
      <w:pPr>
        <w:spacing w:before="120"/>
      </w:pPr>
      <w:r>
        <w:rPr>
          <w:b/>
        </w:rPr>
        <w:t>How we keep it secure.</w:t>
      </w:r>
      <w:r>
        <w:t xml:space="preserve"> See section 6 below for the security controls we apply to your information.</w:t>
      </w:r>
    </w:p>
    <w:p>
      <w:pPr>
        <w:spacing w:before="120"/>
      </w:pPr>
      <w:r>
        <w:rPr>
          <w:b/>
        </w:rPr>
        <w:t>Your rights.</w:t>
      </w:r>
      <w:r>
        <w:t xml:space="preserve"> You can ask for a copy of the information we hold about you, ask us to correct it, or make a complaint about how we have handled it. The 'Your rights under the Privacy Act' section below explains how each of these works, including the timeframes we follow.</w:t>
      </w:r>
    </w:p>
    <w:p>
      <w:pPr>
        <w:spacing w:before="120"/>
      </w:pPr>
      <w:r>
        <w:rPr>
          <w:b/>
        </w:rPr>
        <w:t>Decisions made by software.</w:t>
      </w:r>
      <w:r>
        <w:t xml:space="preserve"> Some decisions about your matter may be made or assisted by software rather than a person. Where a software-driven decision could materially affect you, we tell you that at the time, explain in plain language what the software is doing, and offer a human review on request. See the Automated Decision-Making section below.</w:t>
      </w:r>
    </w:p>
    <w:p>
      <w:pPr>
        <w:pStyle w:val="Heading2"/>
      </w:pPr>
      <w:r>
        <w:t>6. How We Store and Protect Your Information</w:t>
      </w:r>
    </w:p>
    <w:p>
      <w:r>
        <w:t>We hold personal information in our practice management software, document</w:t>
      </w:r>
      <w:r>
        <w:t xml:space="preserve"> </w:t>
      </w:r>
      <w:r>
        <w:t>management system, and secure paper files. We take reasonable steps under</w:t>
      </w:r>
      <w:r>
        <w:t xml:space="preserve"> </w:t>
      </w:r>
      <w:r>
        <w:t>Australian Privacy Principle 11.1 to protect personal information from</w:t>
      </w:r>
      <w:r>
        <w:t xml:space="preserve"> </w:t>
      </w:r>
      <w:r>
        <w:t>misuse, interference, loss, and unauthorised access, modification, or</w:t>
      </w:r>
      <w:r>
        <w:t xml:space="preserve"> </w:t>
      </w:r>
      <w:r>
        <w:t>disclosure.</w:t>
      </w:r>
    </w:p>
    <w:p>
      <w:r>
        <w:t>The specific controls we use — including authentication, encryption,</w:t>
      </w:r>
      <w:r>
        <w:t xml:space="preserve"> </w:t>
      </w:r>
      <w:r>
        <w:t>access controls, and staff-training cadence — are recorded in our internal</w:t>
      </w:r>
      <w:r>
        <w:t xml:space="preserve"> </w:t>
      </w:r>
      <w:r>
        <w:t>records. Those records are not customer-facing, but our Privacy Officer</w:t>
      </w:r>
      <w:r>
        <w:t xml:space="preserve"> </w:t>
      </w:r>
      <w:r>
        <w:t>can describe them on request through the channels in §12.</w:t>
      </w:r>
    </w:p>
    <w:p>
      <w:r>
        <w:t>If you have concerns about how we are protecting your information, please</w:t>
      </w:r>
      <w:r>
        <w:t xml:space="preserve"> </w:t>
      </w:r>
      <w:r>
        <w:t>contact our Privacy Officer using any of the channels in §12.</w:t>
      </w:r>
    </w:p>
    <w:p>
      <w:pPr>
        <w:spacing w:before="120"/>
      </w:pPr>
      <w:r>
        <w:rPr>
          <w:b/>
        </w:rPr>
        <w:t>Retention:</w:t>
      </w:r>
      <w:r>
        <w:t xml:space="preserve"> We retain personal information only for as long as necessary (Australian Privacy Principle 11.2). Where</w:t>
      </w:r>
      <w:r>
        <w:t xml:space="preserve"> </w:t>
      </w:r>
      <w:r>
        <w:t>Australian law requires longer retention — including the Anti-Money Laundering and Counter-Terrorism Financing Act 7-year</w:t>
      </w:r>
      <w:r>
        <w:t xml:space="preserve"> </w:t>
      </w:r>
      <w:r>
        <w:t>obligations under s.107 (transactions), s.113 (customer due diligence) and s.116 (program records) — that statutory period applies.</w:t>
      </w:r>
    </w:p>
    <w:p>
      <w:pPr>
        <w:spacing w:before="120" w:after="120"/>
        <w:ind w:left="567"/>
        <w:shd w:val="clear" w:color="auto" w:fill="FFF4CE"/>
        <w:pBdr>
          <w:left w:val="single" w:sz="18" w:space="6" w:color="E8A33D"/>
          <w:top w:val="single" w:sz="4" w:space="4" w:color="E8A33D"/>
          <w:right w:val="single" w:sz="4" w:space="4" w:color="E8A33D"/>
          <w:bottom w:val="single" w:sz="4" w:space="4" w:color="E8A33D"/>
        </w:pBdr>
      </w:pPr>
      <w:r>
        <w:rPr>
          <w:b/>
          <w:color w:val="8A4C00"/>
        </w:rPr>
        <w:t>Fill in —</w:t>
      </w:r>
      <w:r>
        <w:t xml:space="preserve"> </w:t>
      </w:r>
      <w:r>
        <w:rPr>
          <w:i/>
        </w:rPr>
        <w:t>The retention rows below are auto-populated from the form (the AML/CTF rows appear only where your practice is enrolled or scoped as a reporting entity). Confirm the rows match your actual record-keeping practice and remove rows that don't apply. Delete this italicised note before publishing.</w:t>
      </w:r>
    </w:p>
    <w:tbl>
      <w:tblPr>
        <w:tblW w:type="auto" w:w="0"/>
        <w:jc w:val="left"/>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3213"/>
        <w:gridCol w:w="3213"/>
        <w:gridCol w:w="3213"/>
      </w:tblGrid>
      <w:tr>
        <w:tc>
          <w:tcPr>
            <w:tcW w:type="dxa" w:w="3213"/>
            <w:shd w:val="clear" w:color="auto" w:fill="F2F2F2"/>
          </w:tcPr>
          <w:p>
            <w:pPr>
              <w:spacing w:after="40"/>
            </w:pPr>
            <w:r>
              <w:rPr>
                <w:b/>
              </w:rPr>
            </w:r>
            <w:r>
              <w:rPr>
                <w:b/>
              </w:rPr>
              <w:t>Data Category</w:t>
            </w:r>
          </w:p>
        </w:tc>
        <w:tc>
          <w:tcPr>
            <w:tcW w:type="dxa" w:w="3213"/>
            <w:shd w:val="clear" w:color="auto" w:fill="F2F2F2"/>
          </w:tcPr>
          <w:p>
            <w:pPr>
              <w:spacing w:after="40"/>
            </w:pPr>
            <w:r>
              <w:rPr>
                <w:b/>
              </w:rPr>
            </w:r>
            <w:r>
              <w:rPr>
                <w:b/>
              </w:rPr>
              <w:t>Retention Period</w:t>
            </w:r>
          </w:p>
        </w:tc>
        <w:tc>
          <w:tcPr>
            <w:tcW w:type="dxa" w:w="3213"/>
            <w:shd w:val="clear" w:color="auto" w:fill="F2F2F2"/>
          </w:tcPr>
          <w:p>
            <w:pPr>
              <w:spacing w:after="40"/>
            </w:pPr>
            <w:r>
              <w:rPr>
                <w:b/>
              </w:rPr>
            </w:r>
            <w:r>
              <w:rPr>
                <w:b/>
              </w:rPr>
              <w:t>Basis</w:t>
            </w:r>
          </w:p>
        </w:tc>
      </w:tr>
      <w:tr>
        <w:tc>
          <w:tcPr>
            <w:tcW w:type="dxa" w:w="3213"/>
          </w:tcPr>
          <w:p>
            <w:pPr>
              <w:spacing w:after="40"/>
            </w:pPr>
            <w:r/>
            <w:r>
              <w:t>Anti-Money Laundering and Counter-Terrorism Financing customer identification records</w:t>
            </w:r>
          </w:p>
        </w:tc>
        <w:tc>
          <w:tcPr>
            <w:tcW w:type="dxa" w:w="3213"/>
          </w:tcPr>
          <w:p>
            <w:pPr>
              <w:spacing w:after="40"/>
            </w:pPr>
            <w:r/>
            <w:r>
              <w:t>7 years from the day the practice ceases to provide designated services</w:t>
            </w:r>
          </w:p>
        </w:tc>
        <w:tc>
          <w:tcPr>
            <w:tcW w:type="dxa" w:w="3213"/>
          </w:tcPr>
          <w:p>
            <w:pPr>
              <w:spacing w:after="40"/>
            </w:pPr>
            <w:r/>
            <w:r>
              <w:t>Anti-Money Laundering and Counter-Terrorism Financing Act s.113</w:t>
            </w:r>
          </w:p>
        </w:tc>
      </w:tr>
      <w:tr>
        <w:tc>
          <w:tcPr>
            <w:tcW w:type="dxa" w:w="3213"/>
          </w:tcPr>
          <w:p>
            <w:pPr>
              <w:spacing w:after="40"/>
            </w:pPr>
            <w:r/>
            <w:r>
              <w:t>Anti-Money Laundering and Counter-Terrorism Financing transaction records</w:t>
            </w:r>
          </w:p>
        </w:tc>
        <w:tc>
          <w:tcPr>
            <w:tcW w:type="dxa" w:w="3213"/>
          </w:tcPr>
          <w:p>
            <w:pPr>
              <w:spacing w:after="40"/>
            </w:pPr>
            <w:r/>
            <w:r>
              <w:t>7 years from the day the record is made</w:t>
            </w:r>
          </w:p>
        </w:tc>
        <w:tc>
          <w:tcPr>
            <w:tcW w:type="dxa" w:w="3213"/>
          </w:tcPr>
          <w:p>
            <w:pPr>
              <w:spacing w:after="40"/>
            </w:pPr>
            <w:r/>
            <w:r>
              <w:t>Anti-Money Laundering and Counter-Terrorism Financing Act s.107</w:t>
            </w:r>
          </w:p>
        </w:tc>
      </w:tr>
      <w:tr>
        <w:tc>
          <w:tcPr>
            <w:tcW w:type="dxa" w:w="3213"/>
          </w:tcPr>
          <w:p>
            <w:pPr>
              <w:spacing w:after="40"/>
            </w:pPr>
            <w:r/>
            <w:r>
              <w:t>Anti-Money Laundering and Counter-Terrorism Financing program records (incl. SMRs, training records)</w:t>
            </w:r>
          </w:p>
        </w:tc>
        <w:tc>
          <w:tcPr>
            <w:tcW w:type="dxa" w:w="3213"/>
          </w:tcPr>
          <w:p>
            <w:pPr>
              <w:spacing w:after="40"/>
            </w:pPr>
            <w:r/>
            <w:r>
              <w:t>7 years after the record is no longer relevant</w:t>
            </w:r>
          </w:p>
        </w:tc>
        <w:tc>
          <w:tcPr>
            <w:tcW w:type="dxa" w:w="3213"/>
          </w:tcPr>
          <w:p>
            <w:pPr>
              <w:spacing w:after="40"/>
            </w:pPr>
            <w:r/>
            <w:r>
              <w:t>Anti-Money Laundering and Counter-Terrorism Financing Act s.116</w:t>
            </w:r>
          </w:p>
        </w:tc>
      </w:tr>
      <w:tr>
        <w:tc>
          <w:tcPr>
            <w:tcW w:type="dxa" w:w="3213"/>
          </w:tcPr>
          <w:p>
            <w:pPr>
              <w:spacing w:after="40"/>
            </w:pPr>
            <w:r/>
            <w:r>
              <w:t>Engagement / matter files</w:t>
            </w:r>
          </w:p>
        </w:tc>
        <w:tc>
          <w:tcPr>
            <w:tcW w:type="dxa" w:w="3213"/>
          </w:tcPr>
          <w:p>
            <w:pPr>
              <w:spacing w:after="40"/>
            </w:pPr>
            <w:r/>
            <w:r>
              <w:t>7 years (minimum)</w:t>
            </w:r>
          </w:p>
        </w:tc>
        <w:tc>
          <w:tcPr>
            <w:tcW w:type="dxa" w:w="3213"/>
          </w:tcPr>
          <w:p>
            <w:pPr>
              <w:spacing w:after="40"/>
            </w:pPr>
            <w:r/>
            <w:r>
              <w:t>Professional rules, statute of limitations</w:t>
            </w:r>
          </w:p>
        </w:tc>
      </w:tr>
      <w:tr>
        <w:tc>
          <w:tcPr>
            <w:tcW w:type="dxa" w:w="3213"/>
          </w:tcPr>
          <w:p>
            <w:pPr>
              <w:spacing w:after="40"/>
            </w:pPr>
            <w:r/>
            <w:r>
              <w:t>Tax records</w:t>
            </w:r>
          </w:p>
        </w:tc>
        <w:tc>
          <w:tcPr>
            <w:tcW w:type="dxa" w:w="3213"/>
          </w:tcPr>
          <w:p>
            <w:pPr>
              <w:spacing w:after="40"/>
            </w:pPr>
            <w:r/>
            <w:r>
              <w:t>5 years (general); 7 years (certain transactions)</w:t>
            </w:r>
          </w:p>
        </w:tc>
        <w:tc>
          <w:tcPr>
            <w:tcW w:type="dxa" w:w="3213"/>
          </w:tcPr>
          <w:p>
            <w:pPr>
              <w:spacing w:after="40"/>
            </w:pPr>
            <w:r/>
            <w:r>
              <w:t>Taxation Administration Act 1953</w:t>
            </w:r>
          </w:p>
        </w:tc>
      </w:tr>
      <w:tr>
        <w:tc>
          <w:tcPr>
            <w:tcW w:type="dxa" w:w="3213"/>
          </w:tcPr>
          <w:p>
            <w:pPr>
              <w:spacing w:after="40"/>
            </w:pPr>
            <w:r/>
            <w:r>
              <w:t>General correspondence</w:t>
            </w:r>
          </w:p>
        </w:tc>
        <w:tc>
          <w:tcPr>
            <w:tcW w:type="dxa" w:w="3213"/>
          </w:tcPr>
          <w:p>
            <w:pPr>
              <w:spacing w:after="40"/>
            </w:pPr>
            <w:r/>
            <w:r>
              <w:t>As long as necessary, then destroyed or de-identified</w:t>
            </w:r>
          </w:p>
        </w:tc>
        <w:tc>
          <w:tcPr>
            <w:tcW w:type="dxa" w:w="3213"/>
          </w:tcPr>
          <w:p>
            <w:pPr>
              <w:spacing w:after="40"/>
            </w:pPr>
            <w:r/>
            <w:r>
              <w:t>Australian Privacy Principle 11.2</w:t>
            </w:r>
          </w:p>
        </w:tc>
      </w:tr>
    </w:tbl>
    <w:p>
      <w:pPr>
        <w:pStyle w:val="Heading2"/>
      </w:pPr>
      <w:r>
        <w:t>7. Third-Party Data Sharing</w:t>
      </w:r>
    </w:p>
    <w:p>
      <w:r>
        <w:t>In the course of providing our services we may share personal information with the following</w:t>
      </w:r>
      <w:r>
        <w:t xml:space="preserve"> </w:t>
      </w:r>
      <w:r>
        <w:t>categories of recipient:</w:t>
      </w:r>
    </w:p>
    <w:p>
      <w:pPr>
        <w:spacing w:before="120" w:after="120"/>
        <w:ind w:left="567"/>
        <w:shd w:val="clear" w:color="auto" w:fill="FFF4CE"/>
        <w:pBdr>
          <w:left w:val="single" w:sz="18" w:space="6" w:color="E8A33D"/>
          <w:top w:val="single" w:sz="4" w:space="4" w:color="E8A33D"/>
          <w:right w:val="single" w:sz="4" w:space="4" w:color="E8A33D"/>
          <w:bottom w:val="single" w:sz="4" w:space="4" w:color="E8A33D"/>
        </w:pBdr>
      </w:pPr>
      <w:r>
        <w:rPr>
          <w:b/>
          <w:color w:val="8A4C00"/>
        </w:rPr>
        <w:t>Tailor —</w:t>
      </w:r>
      <w:r>
        <w:t xml:space="preserve"> </w:t>
      </w:r>
      <w:r>
        <w:rPr>
          <w:i/>
        </w:rPr>
        <w:t>The recipients table below reflects the software stack you selected on the form. Verify that every row is a recipient you actually disclose to, and add any recipients the form did not capture (referrers, sub-processors, credit reporting bodies, etc.). Delete this italicised note before publishing.</w:t>
      </w:r>
    </w:p>
    <w:tbl>
      <w:tblPr>
        <w:tblW w:type="auto" w:w="0"/>
        <w:jc w:val="left"/>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409"/>
        <w:gridCol w:w="2409"/>
        <w:gridCol w:w="2409"/>
        <w:gridCol w:w="2409"/>
      </w:tblGrid>
      <w:tr>
        <w:tc>
          <w:tcPr>
            <w:tcW w:type="dxa" w:w="2409"/>
            <w:shd w:val="clear" w:color="auto" w:fill="F2F2F2"/>
          </w:tcPr>
          <w:p>
            <w:pPr>
              <w:spacing w:after="40"/>
            </w:pPr>
            <w:r>
              <w:rPr>
                <w:b/>
              </w:rPr>
            </w:r>
            <w:r>
              <w:rPr>
                <w:b/>
              </w:rPr>
              <w:t>Recipient</w:t>
            </w:r>
          </w:p>
        </w:tc>
        <w:tc>
          <w:tcPr>
            <w:tcW w:type="dxa" w:w="2409"/>
            <w:shd w:val="clear" w:color="auto" w:fill="F2F2F2"/>
          </w:tcPr>
          <w:p>
            <w:pPr>
              <w:spacing w:after="40"/>
            </w:pPr>
            <w:r>
              <w:rPr>
                <w:b/>
              </w:rPr>
            </w:r>
            <w:r>
              <w:rPr>
                <w:b/>
              </w:rPr>
              <w:t>Purpose</w:t>
            </w:r>
          </w:p>
        </w:tc>
        <w:tc>
          <w:tcPr>
            <w:tcW w:type="dxa" w:w="2409"/>
            <w:shd w:val="clear" w:color="auto" w:fill="F2F2F2"/>
          </w:tcPr>
          <w:p>
            <w:pPr>
              <w:spacing w:after="40"/>
            </w:pPr>
            <w:r>
              <w:rPr>
                <w:b/>
              </w:rPr>
            </w:r>
            <w:r>
              <w:rPr>
                <w:b/>
              </w:rPr>
              <w:t>AU Sovereign</w:t>
            </w:r>
          </w:p>
        </w:tc>
        <w:tc>
          <w:tcPr>
            <w:tcW w:type="dxa" w:w="2409"/>
            <w:shd w:val="clear" w:color="auto" w:fill="F2F2F2"/>
          </w:tcPr>
          <w:p>
            <w:pPr>
              <w:spacing w:after="40"/>
            </w:pPr>
            <w:r>
              <w:rPr>
                <w:b/>
              </w:rPr>
            </w:r>
            <w:r>
              <w:rPr>
                <w:b/>
              </w:rPr>
              <w:t>Safeguard</w:t>
            </w:r>
          </w:p>
        </w:tc>
      </w:tr>
      <w:tr>
        <w:tc>
          <w:tcPr>
            <w:tcW w:type="dxa" w:w="2409"/>
          </w:tcPr>
          <w:p>
            <w:pPr>
              <w:spacing w:after="40"/>
            </w:pPr>
            <w:r/>
            <w:r>
              <w:t>Australian Taxation Office</w:t>
            </w:r>
          </w:p>
        </w:tc>
        <w:tc>
          <w:tcPr>
            <w:tcW w:type="dxa" w:w="2409"/>
          </w:tcPr>
          <w:p>
            <w:pPr>
              <w:spacing w:after="40"/>
            </w:pPr>
            <w:r/>
            <w:r>
              <w:t>Tax lodgements (income tax, BAS, PAYG)</w:t>
            </w:r>
          </w:p>
        </w:tc>
        <w:tc>
          <w:tcPr>
            <w:tcW w:type="dxa" w:w="2409"/>
          </w:tcPr>
          <w:p>
            <w:pPr>
              <w:spacing w:after="40"/>
            </w:pPr>
            <w:r/>
            <w:r>
              <w:t>Yes (Australian)</w:t>
            </w:r>
          </w:p>
        </w:tc>
        <w:tc>
          <w:tcPr>
            <w:tcW w:type="dxa" w:w="2409"/>
          </w:tcPr>
          <w:p>
            <w:pPr>
              <w:spacing w:after="40"/>
            </w:pPr>
            <w:r/>
            <w:r>
              <w:t>Contractual / statutory</w:t>
            </w:r>
          </w:p>
        </w:tc>
      </w:tr>
      <w:tr>
        <w:tc>
          <w:tcPr>
            <w:tcW w:type="dxa" w:w="2409"/>
          </w:tcPr>
          <w:p>
            <w:pPr>
              <w:spacing w:after="40"/>
            </w:pPr>
            <w:r/>
            <w:r>
              <w:t>Australian Transaction Reports and Analysis Centre (AUSTRAC) (where the practice is a reporting entity)</w:t>
            </w:r>
          </w:p>
        </w:tc>
        <w:tc>
          <w:tcPr>
            <w:tcW w:type="dxa" w:w="2409"/>
          </w:tcPr>
          <w:p>
            <w:pPr>
              <w:spacing w:after="40"/>
            </w:pPr>
            <w:r/>
            <w:r>
              <w:t>Statutory disclosures required under the Anti-Money Laundering and Counter-Terrorism Financing Act 2006</w:t>
            </w:r>
          </w:p>
        </w:tc>
        <w:tc>
          <w:tcPr>
            <w:tcW w:type="dxa" w:w="2409"/>
          </w:tcPr>
          <w:p>
            <w:pPr>
              <w:spacing w:after="40"/>
            </w:pPr>
            <w:r/>
            <w:r>
              <w:t>Yes (Australian)</w:t>
            </w:r>
          </w:p>
        </w:tc>
        <w:tc>
          <w:tcPr>
            <w:tcW w:type="dxa" w:w="2409"/>
          </w:tcPr>
          <w:p>
            <w:pPr>
              <w:spacing w:after="40"/>
            </w:pPr>
            <w:r/>
            <w:r>
              <w:t>Contractual / statutory</w:t>
            </w:r>
          </w:p>
        </w:tc>
      </w:tr>
      <w:tr>
        <w:tc>
          <w:tcPr>
            <w:tcW w:type="dxa" w:w="2409"/>
          </w:tcPr>
          <w:p>
            <w:pPr>
              <w:spacing w:after="40"/>
            </w:pPr>
            <w:r/>
            <w:r>
              <w:t>DVS-aligned identity verification provider</w:t>
            </w:r>
          </w:p>
        </w:tc>
        <w:tc>
          <w:tcPr>
            <w:tcW w:type="dxa" w:w="2409"/>
          </w:tcPr>
          <w:p>
            <w:pPr>
              <w:spacing w:after="40"/>
            </w:pPr>
            <w:r/>
            <w:r>
              <w:t>Identity verification under Anti-Money Laundering and Counter-Terrorism Financing Act 2006 ss.28-37</w:t>
            </w:r>
          </w:p>
        </w:tc>
        <w:tc>
          <w:tcPr>
            <w:tcW w:type="dxa" w:w="2409"/>
          </w:tcPr>
          <w:p>
            <w:pPr>
              <w:spacing w:after="40"/>
            </w:pPr>
            <w:r/>
            <w:r>
              <w:t>Yes (Australian)</w:t>
            </w:r>
          </w:p>
        </w:tc>
        <w:tc>
          <w:tcPr>
            <w:tcW w:type="dxa" w:w="2409"/>
          </w:tcPr>
          <w:p>
            <w:pPr>
              <w:spacing w:after="40"/>
            </w:pPr>
            <w:r/>
            <w:r>
              <w:t>Contractual / statutory</w:t>
            </w:r>
          </w:p>
        </w:tc>
      </w:tr>
      <w:tr>
        <w:tc>
          <w:tcPr>
            <w:tcW w:type="dxa" w:w="2409"/>
          </w:tcPr>
          <w:p>
            <w:pPr>
              <w:spacing w:after="40"/>
            </w:pPr>
            <w:r/>
            <w:r>
              <w:t>Practice management software vendor</w:t>
            </w:r>
          </w:p>
        </w:tc>
        <w:tc>
          <w:tcPr>
            <w:tcW w:type="dxa" w:w="2409"/>
          </w:tcPr>
          <w:p>
            <w:pPr>
              <w:spacing w:after="40"/>
            </w:pPr>
            <w:r/>
            <w:r>
              <w:t>Hosting your engagement records and correspondence</w:t>
            </w:r>
          </w:p>
        </w:tc>
        <w:tc>
          <w:tcPr>
            <w:tcW w:type="dxa" w:w="2409"/>
          </w:tcPr>
          <w:p>
            <w:pPr>
              <w:spacing w:after="40"/>
            </w:pPr>
            <w:r/>
            <w:r>
              <w:t>Yes (Australian)</w:t>
            </w:r>
          </w:p>
        </w:tc>
        <w:tc>
          <w:tcPr>
            <w:tcW w:type="dxa" w:w="2409"/>
          </w:tcPr>
          <w:p>
            <w:pPr>
              <w:spacing w:after="40"/>
            </w:pPr>
            <w:r/>
            <w:r>
              <w:t>Contractual / statutory</w:t>
            </w:r>
          </w:p>
        </w:tc>
      </w:tr>
      <w:tr>
        <w:tc>
          <w:tcPr>
            <w:tcW w:type="dxa" w:w="2409"/>
          </w:tcPr>
          <w:p>
            <w:pPr>
              <w:spacing w:after="40"/>
            </w:pPr>
            <w:r/>
            <w:r>
              <w:t>Tax Practitioners Board</w:t>
            </w:r>
          </w:p>
        </w:tc>
        <w:tc>
          <w:tcPr>
            <w:tcW w:type="dxa" w:w="2409"/>
          </w:tcPr>
          <w:p>
            <w:pPr>
              <w:spacing w:after="40"/>
            </w:pPr>
            <w:r/>
            <w:r>
              <w:t>Statutory reporting under the Tax Agent Services Act 2009</w:t>
            </w:r>
          </w:p>
        </w:tc>
        <w:tc>
          <w:tcPr>
            <w:tcW w:type="dxa" w:w="2409"/>
          </w:tcPr>
          <w:p>
            <w:pPr>
              <w:spacing w:after="40"/>
            </w:pPr>
            <w:r/>
            <w:r>
              <w:t>Yes (Australian)</w:t>
            </w:r>
          </w:p>
        </w:tc>
        <w:tc>
          <w:tcPr>
            <w:tcW w:type="dxa" w:w="2409"/>
          </w:tcPr>
          <w:p>
            <w:pPr>
              <w:spacing w:after="40"/>
            </w:pPr>
            <w:r/>
            <w:r>
              <w:t>Contractual / statutory</w:t>
            </w:r>
          </w:p>
        </w:tc>
      </w:tr>
      <w:tr>
        <w:tc>
          <w:tcPr>
            <w:tcW w:type="dxa" w:w="2409"/>
          </w:tcPr>
          <w:p>
            <w:pPr>
              <w:spacing w:after="40"/>
            </w:pPr>
            <w:r/>
            <w:r>
              <w:t>External accountant or auditor (where engaged)</w:t>
            </w:r>
          </w:p>
        </w:tc>
        <w:tc>
          <w:tcPr>
            <w:tcW w:type="dxa" w:w="2409"/>
          </w:tcPr>
          <w:p>
            <w:pPr>
              <w:spacing w:after="40"/>
            </w:pPr>
            <w:r/>
            <w:r>
              <w:t>Engagement-specific assistance with your authorisation</w:t>
            </w:r>
          </w:p>
        </w:tc>
        <w:tc>
          <w:tcPr>
            <w:tcW w:type="dxa" w:w="2409"/>
          </w:tcPr>
          <w:p>
            <w:pPr>
              <w:spacing w:after="40"/>
            </w:pPr>
            <w:r/>
            <w:r>
              <w:t>Yes (Australian)</w:t>
            </w:r>
          </w:p>
        </w:tc>
        <w:tc>
          <w:tcPr>
            <w:tcW w:type="dxa" w:w="2409"/>
          </w:tcPr>
          <w:p>
            <w:pPr>
              <w:spacing w:after="40"/>
            </w:pPr>
            <w:r/>
            <w:r>
              <w:t>Contractual / statutory</w:t>
            </w:r>
          </w:p>
        </w:tc>
      </w:tr>
    </w:tbl>
    <w:p>
      <w:r>
        <w:t>We do not sell your personal information.</w:t>
      </w:r>
    </w:p>
    <w:p>
      <w:r>
        <w:t>We may also disclose personal information where required or authorised by Australian law (for</w:t>
      </w:r>
      <w:r>
        <w:t xml:space="preserve"> </w:t>
      </w:r>
      <w:r>
        <w:t>example court order, AUSTRAC notice, Australian Taxation Office notice, professional regulator).</w:t>
      </w:r>
    </w:p>
    <w:p>
      <w:pPr>
        <w:pStyle w:val="Heading2"/>
      </w:pPr>
      <w:r>
        <w:t>8. Overseas Disclosure</w:t>
      </w:r>
    </w:p>
    <w:p>
      <w:pPr>
        <w:spacing w:before="120" w:after="120"/>
        <w:ind w:left="567"/>
        <w:shd w:val="clear" w:color="auto" w:fill="FFF4CE"/>
        <w:pBdr>
          <w:left w:val="single" w:sz="18" w:space="6" w:color="E8A33D"/>
          <w:top w:val="single" w:sz="4" w:space="4" w:color="E8A33D"/>
          <w:right w:val="single" w:sz="4" w:space="4" w:color="E8A33D"/>
          <w:bottom w:val="single" w:sz="4" w:space="4" w:color="E8A33D"/>
        </w:pBdr>
      </w:pPr>
      <w:r>
        <w:rPr>
          <w:b/>
          <w:color w:val="8A4C00"/>
        </w:rPr>
        <w:t>Fill in —</w:t>
      </w:r>
      <w:r>
        <w:t xml:space="preserve"> </w:t>
      </w:r>
      <w:r>
        <w:rPr>
          <w:i/>
        </w:rPr>
        <w:t>The recipient list and the countries to which your information may be disclosed are derived from the software stack you selected on the form and your form-time `sends_overseas` answer. Confirm with your Privacy Officer that the description below matches your actual overseas-disclosure footprint. Delete this italicised note before publishing.</w:t>
      </w:r>
    </w:p>
    <w:p>
      <w:r>
        <w:t>We disclose personal information to overseas recipients in the course of providing our services. Before doing so, we take reasonable steps to ensure each recipient handles your</w:t>
      </w:r>
      <w:r>
        <w:t xml:space="preserve"> </w:t>
      </w:r>
      <w:r>
        <w:t>personal information consistently with the Australian Privacy Principles (Australian Privacy Principle 8).</w:t>
      </w:r>
    </w:p>
    <w:p>
      <w:r>
        <w:t>You may contact our Privacy Officer to ask which overseas countries your information may be</w:t>
      </w:r>
      <w:r>
        <w:t xml:space="preserve"> </w:t>
      </w:r>
      <w:r>
        <w:t>disclosed to. Where disclosure is required by Australian law (for example AUSTRAC notices), it</w:t>
      </w:r>
      <w:r>
        <w:t xml:space="preserve"> </w:t>
      </w:r>
      <w:r>
        <w:t>proceeds whether or not you consent.</w:t>
      </w:r>
    </w:p>
    <w:p>
      <w:pPr>
        <w:pStyle w:val="Heading2"/>
      </w:pPr>
      <w:r>
        <w:t>9. Anti-Money Laundering and Counter-Terrorism Financing Compliance</w:t>
      </w:r>
    </w:p>
    <w:p>
      <w:r>
        <w:t>From the date we are enrolled with AUSTRAC as a reporting entity (Tranche 2 obligations commence</w:t>
      </w:r>
      <w:r>
        <w:t xml:space="preserve"> </w:t>
      </w:r>
      <w:r>
        <w:t xml:space="preserve">no later than 1 July 2026 under the </w:t>
      </w:r>
      <w:r>
        <w:rPr>
          <w:i/>
        </w:rPr>
        <w:t>AML/CTF Amendment Act 2024</w:t>
      </w:r>
      <w:r>
        <w:t>), we are a reporting entity</w:t>
      </w:r>
      <w:r>
        <w:t xml:space="preserve"> </w:t>
      </w:r>
      <w:r>
        <w:t xml:space="preserve">under the </w:t>
      </w:r>
      <w:r>
        <w:rPr>
          <w:i/>
        </w:rPr>
        <w:t>Anti-Money Laundering and Counter-Terrorism Financing Act 2006</w:t>
      </w:r>
      <w:r>
        <w:t xml:space="preserve"> (Cth) and collect and</w:t>
      </w:r>
      <w:r>
        <w:t xml:space="preserve"> </w:t>
      </w:r>
      <w:r>
        <w:t>handle personal information to meet our statutory obligations:</w:t>
      </w:r>
    </w:p>
    <w:p>
      <w:r>
        <w:rPr>
          <w:b/>
        </w:rPr>
        <w:t>Initial customer due diligence information collected (Anti-Money Laundering and Counter-Terrorism Financing Act s.28 — sometimes called "know-your-client" or KYC):</w:t>
      </w:r>
    </w:p>
    <w:p>
      <w:pPr>
        <w:pStyle w:val="ListBullet"/>
      </w:pPr>
      <w:r>
        <w:t>Full name, date of birth, residential address</w:t>
      </w:r>
    </w:p>
    <w:p>
      <w:pPr>
        <w:pStyle w:val="ListBullet"/>
      </w:pPr>
      <w:r>
        <w:t>Government-issued identification document details</w:t>
      </w:r>
    </w:p>
    <w:p>
      <w:pPr>
        <w:pStyle w:val="ListBullet"/>
      </w:pPr>
      <w:r>
        <w:t>Beneficial ownership information (where the customer is not an individual)</w:t>
      </w:r>
    </w:p>
    <w:p>
      <w:pPr>
        <w:pStyle w:val="ListBullet"/>
      </w:pPr>
      <w:r>
        <w:t>Source of funds / source of wealth (for higher-risk customers)</w:t>
      </w:r>
    </w:p>
    <w:p>
      <w:r>
        <w:rPr>
          <w:b/>
        </w:rPr>
        <w:t>Government identifiers we may collect:</w:t>
      </w:r>
    </w:p>
    <w:p>
      <w:pPr>
        <w:pStyle w:val="ListBullet"/>
      </w:pPr>
      <w:r>
        <w:rPr>
          <w:b/>
        </w:rPr>
        <w:t>Tax File Number</w:t>
      </w:r>
      <w:r>
        <w:t xml:space="preserve"> — collected and used only as authorised by the </w:t>
      </w:r>
      <w:r>
        <w:rPr>
          <w:i/>
        </w:rPr>
        <w:t>Taxation Administration Act 1953</w:t>
      </w:r>
      <w:r>
        <w:t xml:space="preserve"> and related law.</w:t>
      </w:r>
    </w:p>
    <w:p>
      <w:pPr>
        <w:pStyle w:val="ListBullet"/>
      </w:pPr>
      <w:r>
        <w:rPr>
          <w:b/>
        </w:rPr>
        <w:t>Driver's licence / passport</w:t>
      </w:r>
      <w:r>
        <w:t xml:space="preserve"> — collected for identity verification under the Anti-Money Laundering and Counter-Terrorism Financing Act 2006 ss.28-37.</w:t>
      </w:r>
    </w:p>
    <w:p>
      <w:pPr>
        <w:spacing w:before="120"/>
      </w:pPr>
      <w:r>
        <w:rPr>
          <w:b/>
        </w:rPr>
        <w:t>Legal basis:</w:t>
      </w:r>
      <w:r>
        <w:t xml:space="preserve"> Australian Privacy Principle 3.4(a) — collection is required or authorised by Australian law, specifically</w:t>
      </w:r>
      <w:r>
        <w:t xml:space="preserve"> </w:t>
      </w:r>
      <w:r>
        <w:t>the Anti-Money Laundering and Counter-Terrorism Financing Act 2006 ss.28-37 and the Anti-Money Laundering and Counter-Terrorism Financing Rules. Collection is statutory, not consent-based.</w:t>
      </w:r>
    </w:p>
    <w:p>
      <w:pPr>
        <w:spacing w:before="120"/>
      </w:pPr>
      <w:r>
        <w:rPr>
          <w:b/>
        </w:rPr>
        <w:t>Retention:</w:t>
      </w:r>
      <w:r>
        <w:t xml:space="preserve"> Customer due diligence records (identification information collected under s.28) are</w:t>
      </w:r>
      <w:r>
        <w:t xml:space="preserve"> </w:t>
      </w:r>
      <w:r>
        <w:t xml:space="preserve">retained for </w:t>
      </w:r>
      <w:r>
        <w:t>7 years beginning on the day the reporting entity ceases to provide designated services</w:t>
      </w:r>
      <w:r>
        <w:t xml:space="preserve"> </w:t>
      </w:r>
      <w:r>
        <w:t>to the customer</w:t>
      </w:r>
      <w:r>
        <w:t xml:space="preserve"> (Anti-Money Laundering and Counter-Terrorism Financing Act s.113). Transaction</w:t>
      </w:r>
      <w:r>
        <w:t xml:space="preserve"> </w:t>
      </w:r>
      <w:r>
        <w:t xml:space="preserve">records are retained for </w:t>
      </w:r>
      <w:r>
        <w:rPr>
          <w:b/>
        </w:rPr>
        <w:t>7 years beginning on the day the record is made</w:t>
      </w:r>
      <w:r>
        <w:t xml:space="preserve"> (s.107). AML/CTF</w:t>
      </w:r>
      <w:r>
        <w:t xml:space="preserve"> </w:t>
      </w:r>
      <w:r>
        <w:t xml:space="preserve">program records (including SMRs and training records) are retained for </w:t>
      </w:r>
      <w:r>
        <w:t>7 years after the record</w:t>
      </w:r>
      <w:r>
        <w:t xml:space="preserve"> </w:t>
      </w:r>
      <w:r>
        <w:t>is no longer relevant</w:t>
      </w:r>
      <w:r>
        <w:t xml:space="preserve"> (s.116). These statutory retention periods override the Australian Privacy</w:t>
      </w:r>
      <w:r>
        <w:t xml:space="preserve"> </w:t>
      </w:r>
      <w:r>
        <w:t>Principle 11.2 destruction requirement.</w:t>
      </w:r>
    </w:p>
    <w:p>
      <w:pPr>
        <w:spacing w:before="120"/>
      </w:pPr>
      <w:r>
        <w:rPr>
          <w:b/>
        </w:rPr>
        <w:t>Disclosures to AUSTRAC:</w:t>
      </w:r>
      <w:r>
        <w:t xml:space="preserve"> Where the </w:t>
      </w:r>
      <w:r>
        <w:rPr>
          <w:i/>
        </w:rPr>
        <w:t>Anti-Money Laundering and Counter-Terrorism Financing Act 2006</w:t>
      </w:r>
      <w:r>
        <w:t xml:space="preserve"> (Cth)</w:t>
      </w:r>
      <w:r>
        <w:t xml:space="preserve"> </w:t>
      </w:r>
      <w:r>
        <w:t>requires us to disclose personal information to AUSTRAC, we do so in accordance with the relevant</w:t>
      </w:r>
      <w:r>
        <w:t xml:space="preserve"> </w:t>
      </w:r>
      <w:r>
        <w:t>statutory provisions. The detailed AML/CTF privacy collection notice we issue at customer due diligence</w:t>
      </w:r>
      <w:r>
        <w:t xml:space="preserve"> </w:t>
      </w:r>
      <w:r>
        <w:t xml:space="preserve">(see </w:t>
      </w:r>
      <w:r>
        <w:rPr>
          <w:i/>
        </w:rPr>
        <w:t>OAIC AML/CTF Privacy Collection Notice</w:t>
      </w:r>
      <w:r>
        <w:t xml:space="preserve"> — </w:t>
      </w:r>
      <w:r>
        <w:rPr>
          <w:rFonts w:ascii="Consolas" w:hAnsi="Consolas"/>
          <w:sz w:val="20"/>
        </w:rPr>
        <w:t>OAIC-AML-NOTICE-001</w:t>
      </w:r>
      <w:r>
        <w:t>) describes the AML/CTF reporting</w:t>
      </w:r>
      <w:r>
        <w:t xml:space="preserve"> </w:t>
      </w:r>
      <w:r>
        <w:t>framework in regulator-aligned wording.</w:t>
      </w:r>
    </w:p>
    <w:p>
      <w:pPr>
        <w:spacing w:before="120"/>
      </w:pPr>
      <w:r>
        <w:rPr>
          <w:b/>
        </w:rPr>
        <w:t>Access carve-out.</w:t>
      </w:r>
      <w:r>
        <w:t xml:space="preserve"> Australian law restricts our ability to disclose certain categories of records to</w:t>
      </w:r>
      <w:r>
        <w:t xml:space="preserve"> </w:t>
      </w:r>
      <w:r>
        <w:t>you, including records of reports the law may require us to make to government regulators. Where this</w:t>
      </w:r>
      <w:r>
        <w:t xml:space="preserve"> </w:t>
      </w:r>
      <w:r>
        <w:t>restriction applies to part of a request, we are required by law to refuse that part under the</w:t>
      </w:r>
      <w:r>
        <w:t xml:space="preserve"> </w:t>
      </w:r>
      <w:r>
        <w:t>enforcement-related activities exemption in Australian Privacy Principle 12.3. We will tell you that an</w:t>
      </w:r>
      <w:r>
        <w:t xml:space="preserve"> </w:t>
      </w:r>
      <w:r>
        <w:t>exemption applies and identify the relevant Australian Privacy Principle, but the law does not allow us</w:t>
      </w:r>
      <w:r>
        <w:t xml:space="preserve"> </w:t>
      </w:r>
      <w:r>
        <w:t>to confirm whether records in the restricted class exist.</w:t>
      </w:r>
    </w:p>
    <w:p>
      <w:pPr>
        <w:pStyle w:val="Heading2"/>
      </w:pPr>
      <w:r>
        <w:t>10. Your rights under the Privacy Act</w:t>
      </w:r>
    </w:p>
    <w:p>
      <w:pPr>
        <w:spacing w:before="120" w:after="120"/>
        <w:ind w:left="567"/>
        <w:shd w:val="clear" w:color="auto" w:fill="FFF4CE"/>
        <w:pBdr>
          <w:left w:val="single" w:sz="18" w:space="6" w:color="E8A33D"/>
          <w:top w:val="single" w:sz="4" w:space="4" w:color="E8A33D"/>
          <w:right w:val="single" w:sz="4" w:space="4" w:color="E8A33D"/>
          <w:bottom w:val="single" w:sz="4" w:space="4" w:color="E8A33D"/>
        </w:pBdr>
      </w:pPr>
      <w:r>
        <w:rPr>
          <w:b/>
          <w:color w:val="8A4C00"/>
        </w:rPr>
        <w:t>Fill in —</w:t>
      </w:r>
      <w:r>
        <w:t xml:space="preserve"> </w:t>
      </w:r>
      <w:r>
        <w:rPr>
          <w:i/>
        </w:rPr>
        <w:t>The acknowledgement timeframe and the 30-calendar-day substantive-response window below are sourced from the form (`practice_ack_days`, default 5 business days; range 1–10). Confirm the timeframes match what your Privacy Officer can actually deliver. Delete this italicised note before publishing.</w:t>
      </w:r>
    </w:p>
    <w:p>
      <w:r>
        <w:t>Under the Privacy Act 1988 and the Australian Privacy Principles, you have the right to:</w:t>
      </w:r>
    </w:p>
    <w:tbl>
      <w:tblPr>
        <w:tblW w:type="auto" w:w="0"/>
        <w:jc w:val="left"/>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2409"/>
        <w:gridCol w:w="2409"/>
        <w:gridCol w:w="2409"/>
        <w:gridCol w:w="2409"/>
      </w:tblGrid>
      <w:tr>
        <w:tc>
          <w:tcPr>
            <w:tcW w:type="dxa" w:w="2409"/>
            <w:shd w:val="clear" w:color="auto" w:fill="F2F2F2"/>
          </w:tcPr>
          <w:p>
            <w:pPr>
              <w:spacing w:after="40"/>
            </w:pPr>
            <w:r>
              <w:rPr>
                <w:b/>
              </w:rPr>
            </w:r>
            <w:r>
              <w:rPr>
                <w:b/>
              </w:rPr>
              <w:t>Right</w:t>
            </w:r>
          </w:p>
        </w:tc>
        <w:tc>
          <w:tcPr>
            <w:tcW w:type="dxa" w:w="2409"/>
            <w:shd w:val="clear" w:color="auto" w:fill="F2F2F2"/>
          </w:tcPr>
          <w:p>
            <w:pPr>
              <w:spacing w:after="40"/>
            </w:pPr>
            <w:r>
              <w:rPr>
                <w:b/>
              </w:rPr>
            </w:r>
            <w:r>
              <w:rPr>
                <w:b/>
              </w:rPr>
              <w:t>Description</w:t>
            </w:r>
          </w:p>
        </w:tc>
        <w:tc>
          <w:tcPr>
            <w:tcW w:type="dxa" w:w="2409"/>
            <w:shd w:val="clear" w:color="auto" w:fill="F2F2F2"/>
          </w:tcPr>
          <w:p>
            <w:pPr>
              <w:spacing w:after="40"/>
            </w:pPr>
            <w:r>
              <w:rPr>
                <w:b/>
              </w:rPr>
            </w:r>
            <w:r>
              <w:rPr>
                <w:b/>
              </w:rPr>
              <w:t>How to Exercise</w:t>
            </w:r>
          </w:p>
        </w:tc>
        <w:tc>
          <w:tcPr>
            <w:tcW w:type="dxa" w:w="2409"/>
            <w:shd w:val="clear" w:color="auto" w:fill="F2F2F2"/>
          </w:tcPr>
          <w:p>
            <w:pPr>
              <w:spacing w:after="40"/>
            </w:pPr>
            <w:r>
              <w:rPr>
                <w:b/>
              </w:rPr>
            </w:r>
            <w:r>
              <w:rPr>
                <w:b/>
              </w:rPr>
              <w:t>Response Time</w:t>
            </w:r>
          </w:p>
        </w:tc>
      </w:tr>
      <w:tr>
        <w:tc>
          <w:tcPr>
            <w:tcW w:type="dxa" w:w="2409"/>
          </w:tcPr>
          <w:p>
            <w:pPr>
              <w:spacing w:after="40"/>
            </w:pPr>
            <w:r/>
            <w:r>
              <w:t>Access (Australian Privacy Principle 12)</w:t>
            </w:r>
          </w:p>
        </w:tc>
        <w:tc>
          <w:tcPr>
            <w:tcW w:type="dxa" w:w="2409"/>
          </w:tcPr>
          <w:p>
            <w:pPr>
              <w:spacing w:after="40"/>
            </w:pPr>
            <w:r/>
            <w:r>
              <w:t>Obtain a copy of personal information we hold about you, subject to permitted exceptions</w:t>
            </w:r>
          </w:p>
        </w:tc>
        <w:tc>
          <w:tcPr>
            <w:tcW w:type="dxa" w:w="2409"/>
          </w:tcPr>
          <w:p>
            <w:pPr>
              <w:spacing w:after="40"/>
            </w:pPr>
            <w:r/>
            <w:r>
              <w:t>Email Privacy Officer</w:t>
            </w:r>
          </w:p>
        </w:tc>
        <w:tc>
          <w:tcPr>
            <w:tcW w:type="dxa" w:w="2409"/>
          </w:tcPr>
          <w:p>
            <w:pPr>
              <w:spacing w:after="40"/>
            </w:pPr>
            <w:r/>
            <w:r>
              <w:t>30 calendar days</w:t>
            </w:r>
          </w:p>
        </w:tc>
      </w:tr>
      <w:tr>
        <w:tc>
          <w:tcPr>
            <w:tcW w:type="dxa" w:w="2409"/>
          </w:tcPr>
          <w:p>
            <w:pPr>
              <w:spacing w:after="40"/>
            </w:pPr>
            <w:r/>
            <w:r>
              <w:t>Correction (Australian Privacy Principle 13)</w:t>
            </w:r>
          </w:p>
        </w:tc>
        <w:tc>
          <w:tcPr>
            <w:tcW w:type="dxa" w:w="2409"/>
          </w:tcPr>
          <w:p>
            <w:pPr>
              <w:spacing w:after="40"/>
            </w:pPr>
            <w:r/>
            <w:r>
              <w:t>Have inaccurate, out-of-date, incomplete, irrelevant or misleading information corrected</w:t>
            </w:r>
          </w:p>
        </w:tc>
        <w:tc>
          <w:tcPr>
            <w:tcW w:type="dxa" w:w="2409"/>
          </w:tcPr>
          <w:p>
            <w:pPr>
              <w:spacing w:after="40"/>
            </w:pPr>
            <w:r/>
            <w:r>
              <w:t>Email Privacy Officer</w:t>
            </w:r>
          </w:p>
        </w:tc>
        <w:tc>
          <w:tcPr>
            <w:tcW w:type="dxa" w:w="2409"/>
          </w:tcPr>
          <w:p>
            <w:pPr>
              <w:spacing w:after="40"/>
            </w:pPr>
            <w:r/>
            <w:r>
              <w:t>30 calendar days</w:t>
            </w:r>
          </w:p>
        </w:tc>
      </w:tr>
      <w:tr>
        <w:tc>
          <w:tcPr>
            <w:tcW w:type="dxa" w:w="2409"/>
          </w:tcPr>
          <w:p>
            <w:pPr>
              <w:spacing w:after="40"/>
            </w:pPr>
            <w:r/>
            <w:r>
              <w:t>Complaint</w:t>
            </w:r>
          </w:p>
        </w:tc>
        <w:tc>
          <w:tcPr>
            <w:tcW w:type="dxa" w:w="2409"/>
          </w:tcPr>
          <w:p>
            <w:pPr>
              <w:spacing w:after="40"/>
            </w:pPr>
            <w:r/>
            <w:r>
              <w:t>Lodge a complaint about our handling of your personal information</w:t>
            </w:r>
          </w:p>
        </w:tc>
        <w:tc>
          <w:tcPr>
            <w:tcW w:type="dxa" w:w="2409"/>
          </w:tcPr>
          <w:p>
            <w:pPr>
              <w:spacing w:after="40"/>
            </w:pPr>
            <w:r/>
            <w:r>
              <w:t>Email Privacy Officer</w:t>
            </w:r>
          </w:p>
        </w:tc>
        <w:tc>
          <w:tcPr>
            <w:tcW w:type="dxa" w:w="2409"/>
          </w:tcPr>
          <w:p>
            <w:pPr>
              <w:spacing w:after="40"/>
            </w:pPr>
            <w:r/>
            <w:r>
              <w:t>30 calendar days</w:t>
            </w:r>
          </w:p>
        </w:tc>
      </w:tr>
      <w:tr>
        <w:tc>
          <w:tcPr>
            <w:tcW w:type="dxa" w:w="2409"/>
          </w:tcPr>
          <w:p>
            <w:pPr>
              <w:spacing w:after="40"/>
            </w:pPr>
            <w:r/>
            <w:r>
              <w:t>OAIC complaint</w:t>
            </w:r>
          </w:p>
        </w:tc>
        <w:tc>
          <w:tcPr>
            <w:tcW w:type="dxa" w:w="2409"/>
          </w:tcPr>
          <w:p>
            <w:pPr>
              <w:spacing w:after="40"/>
            </w:pPr>
            <w:r/>
            <w:r>
              <w:t>Escalate to the OAIC</w:t>
            </w:r>
          </w:p>
        </w:tc>
        <w:tc>
          <w:tcPr>
            <w:tcW w:type="dxa" w:w="2409"/>
          </w:tcPr>
          <w:p>
            <w:pPr>
              <w:spacing w:after="40"/>
            </w:pPr>
            <w:r/>
            <w:r>
              <w:t>oaic.gov.au</w:t>
            </w:r>
          </w:p>
        </w:tc>
        <w:tc>
          <w:tcPr>
            <w:tcW w:type="dxa" w:w="2409"/>
          </w:tcPr>
          <w:p>
            <w:pPr>
              <w:spacing w:after="40"/>
            </w:pPr>
            <w:r/>
            <w:r>
              <w:t>—</w:t>
            </w:r>
          </w:p>
        </w:tc>
      </w:tr>
    </w:tbl>
    <w:p>
      <w:pPr>
        <w:spacing w:before="120"/>
      </w:pPr>
      <w:r>
        <w:rPr>
          <w:b/>
        </w:rPr>
        <w:t>Acknowledgement and response timeframes.</w:t>
      </w:r>
      <w:r>
        <w:t xml:space="preserve"> We will acknowledge your complaint within </w:t>
      </w:r>
      <w:r>
        <w:rPr>
          <w:b/>
        </w:rPr>
        <w:t>5 business days</w:t>
      </w:r>
      <w:r>
        <w:t xml:space="preserve"> as a matter of practice. We aim to provide a substantive response within </w:t>
      </w:r>
      <w:r>
        <w:rPr>
          <w:b/>
        </w:rPr>
        <w:t>30 calendar days</w:t>
      </w:r>
      <w:r>
        <w:t xml:space="preserve"> — the timeframe after which you may escalate to the Office of the Australian Information Commissioner under Privacy Act s.40(1A) if you have not received a satisfactory response. You may also escalate to the OAIC under Privacy Act s.40(1A) if we have not provided a response within 30 calendar days, regardless of whether you are satisfied with the answer.</w:t>
      </w:r>
    </w:p>
    <w:p>
      <w:pPr>
        <w:pStyle w:val="Heading3"/>
      </w:pPr>
      <w:r>
        <w:t>Anonymity and pseudonymity (Australian Privacy Principle 2)</w:t>
      </w:r>
    </w:p>
    <w:p>
      <w:r>
        <w:t xml:space="preserve">Where it is lawful and practicable, you have the option of dealing with us anonymously or by using a pseudonym. We may need to identify you to provide a designated service for which the law requires customer due diligence (for example onboarding under the </w:t>
      </w:r>
      <w:r>
        <w:rPr>
          <w:i/>
        </w:rPr>
        <w:t>Anti-Money Laundering and Counter-Terrorism Financing Act 2006</w:t>
      </w:r>
      <w:r>
        <w:t>); in those cases anonymity is not available, but for general enquiries we will let you remain anonymous if you ask.</w:t>
      </w:r>
    </w:p>
    <w:p>
      <w:pPr>
        <w:pStyle w:val="Heading3"/>
      </w:pPr>
      <w:r>
        <w:t>How we will correct your information (Australian Privacy Principle 13)</w:t>
      </w:r>
    </w:p>
    <w:p>
      <w:r>
        <w:t>If you ask us to correct personal information we hold about you, we will take reasonable steps to correct it within a reasonable period. If we have previously disclosed the information to another APP entity (for example an overseas recipient or a regulator), we will take reasonable steps to notify them of the correction unless that is impracticable or unlawful (Australian Privacy Principle 13.2). If we refuse to correct the information, we will tell you why in writing and you may ask us to attach a statement noting your view (Australian Privacy Principle 13.4).</w:t>
      </w:r>
    </w:p>
    <w:p>
      <w:pPr>
        <w:pStyle w:val="Heading3"/>
      </w:pPr>
      <w:r>
        <w:t>Direct marketing (Australian Privacy Principle 7)</w:t>
      </w:r>
    </w:p>
    <w:p>
      <w:r>
        <w:t>We may use your contact details for direct marketing only where you would reasonably expect us to or you have given consent. Every direct-marketing communication we send will include a simple opt-out. To opt out of direct marketing at any time, contact our Privacy Officer (details below) — we will action the request within a reasonable period and confirm. Sensitive information is not used for direct marketing without your express consent.</w:t>
      </w:r>
    </w:p>
    <w:p>
      <w:pPr>
        <w:spacing w:before="120"/>
      </w:pPr>
      <w:r>
        <w:rPr>
          <w:b/>
        </w:rPr>
        <w:t>Retention and deletion:</w:t>
      </w:r>
      <w:r>
        <w:t xml:space="preserve"> The Privacy Act does not grant a general right to deletion. We retain</w:t>
      </w:r>
      <w:r>
        <w:t xml:space="preserve"> </w:t>
      </w:r>
      <w:r>
        <w:t>personal information only for as long as necessary (Australian Privacy Principle 11.2). Where Australian law requires us to</w:t>
      </w:r>
      <w:r>
        <w:t xml:space="preserve"> </w:t>
      </w:r>
      <w:r>
        <w:t>keep records — for example the Anti-Money Laundering and Counter-Terrorism Financing Act 7-year retention obligations under</w:t>
      </w:r>
      <w:r>
        <w:t xml:space="preserve"> </w:t>
      </w:r>
      <w:r>
        <w:t>s.107 (transactions), s.113 (customer due diligence) and s.116 (program records) — that statutory retention applies and we cannot destroy</w:t>
      </w:r>
      <w:r>
        <w:t xml:space="preserve"> </w:t>
      </w:r>
      <w:r>
        <w:t>the records earlier.</w:t>
      </w:r>
    </w:p>
    <w:p>
      <w:pPr>
        <w:spacing w:before="120"/>
      </w:pPr>
      <w:r>
        <w:rPr>
          <w:b/>
        </w:rPr>
        <w:t>Access exceptions:</w:t>
      </w:r>
      <w:r>
        <w:t xml:space="preserve"> We may refuse access where required or authorised by law, including where</w:t>
      </w:r>
      <w:r>
        <w:t xml:space="preserve"> </w:t>
      </w:r>
      <w:r>
        <w:t>disclosure would reveal the existence of a suspicious matter report (Anti-Money Laundering and Counter-Terrorism Financing Act s.123).</w:t>
      </w:r>
    </w:p>
    <w:p>
      <w:pPr>
        <w:spacing w:before="120"/>
      </w:pPr>
      <w:r>
        <w:rPr>
          <w:b/>
        </w:rPr>
        <w:t>To exercise your rights:</w:t>
      </w:r>
      <w:r>
        <w:t xml:space="preserve"> Contact our Privacy Officer (details below). We may need to verify</w:t>
      </w:r>
      <w:r>
        <w:t xml:space="preserve"> </w:t>
      </w:r>
      <w:r>
        <w:t>your identity before processing requests.</w:t>
      </w:r>
    </w:p>
    <w:p>
      <w:pPr>
        <w:pStyle w:val="Heading3"/>
      </w:pPr>
      <w:r>
        <w:t>Automated decision-making (Australian Privacy Principle 1.7)</w:t>
      </w:r>
    </w:p>
    <w:p>
      <w:pPr>
        <w:spacing w:before="120" w:after="120"/>
        <w:ind w:left="567"/>
        <w:shd w:val="clear" w:color="auto" w:fill="FFF4CE"/>
        <w:pBdr>
          <w:left w:val="single" w:sz="18" w:space="6" w:color="E8A33D"/>
          <w:top w:val="single" w:sz="4" w:space="4" w:color="E8A33D"/>
          <w:right w:val="single" w:sz="4" w:space="4" w:color="E8A33D"/>
          <w:bottom w:val="single" w:sz="4" w:space="4" w:color="E8A33D"/>
        </w:pBdr>
      </w:pPr>
      <w:r>
        <w:rPr>
          <w:b/>
          <w:color w:val="8A4C00"/>
        </w:rPr>
        <w:t>Tailor —</w:t>
      </w:r>
      <w:r>
        <w:t xml:space="preserve"> </w:t>
      </w:r>
      <w:r>
        <w:rPr>
          <w:i/>
        </w:rPr>
        <w:t>The per-system summary below is auto-populated from the practice's internal automated-decision-making inventory. Confirm it matches the systems your practice actually uses today, and update it whenever a system is added, retired, or its human-review channel changes. Delete this italicised note before publishing.</w:t>
      </w:r>
    </w:p>
    <w:p>
      <w:r>
        <w:t>Some decisions about your matter may be made or assisted by software rather than a person. Where a software-driven decision could materially affect you, we tell you that at the time, explain in plain language what the software is doing, and offer a human review on request. To request a human review, contact our Privacy Officer using the channels in §12.</w:t>
      </w:r>
    </w:p>
    <w:p>
      <w:r>
        <w:t>We keep an internal register of every system that meets this threshold, so the systems we describe here match the systems we actually use. For each system, we record the kind of decision the software makes or assists, the kinds of personal information used, and the human-review channel available to you.</w:t>
      </w:r>
    </w:p>
    <w:p>
      <w:pPr>
        <w:pStyle w:val="Heading2"/>
      </w:pPr>
      <w:r>
        <w:t>11. Changes to This Notice</w:t>
      </w:r>
    </w:p>
    <w:p>
      <w:r>
        <w:t>We may update this Privacy Notice from time to time. We will notify you of material changes by</w:t>
      </w:r>
      <w:r>
        <w:t xml:space="preserve"> </w:t>
      </w:r>
      <w:r>
        <w:t>email or by posting a prominent notice at our place of business or on our website. The</w:t>
      </w:r>
      <w:r>
        <w:t xml:space="preserve"> </w:t>
      </w:r>
      <w:r>
        <w:t>"Last updated" date at the top of this notice indicates when it was last revised.</w:t>
      </w:r>
    </w:p>
    <w:p>
      <w:pPr>
        <w:pStyle w:val="Heading2"/>
      </w:pPr>
      <w:r>
        <w:t>12. Contact — Privacy Officer</w:t>
      </w:r>
    </w:p>
    <w:p>
      <w:r>
        <w:t>For privacy enquiries, access requests, corrections, or complaints, contact our Privacy Officer ([Privacy Officer name]) at Your Practice Name via any of the channels below:</w:t>
      </w:r>
    </w:p>
    <w:tbl>
      <w:tblPr>
        <w:tblW w:type="auto" w:w="0"/>
        <w:jc w:val="left"/>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4819"/>
        <w:gridCol w:w="4819"/>
      </w:tblGrid>
      <w:tr>
        <w:tc>
          <w:tcPr>
            <w:tcW w:type="dxa" w:w="4819"/>
            <w:shd w:val="clear" w:color="auto" w:fill="F2F2F2"/>
          </w:tcPr>
          <w:p>
            <w:pPr>
              <w:spacing w:after="40"/>
            </w:pPr>
            <w:r>
              <w:rPr>
                <w:b/>
              </w:rPr>
            </w:r>
            <w:r>
              <w:rPr>
                <w:b/>
              </w:rPr>
              <w:t>Channel</w:t>
            </w:r>
          </w:p>
        </w:tc>
        <w:tc>
          <w:tcPr>
            <w:tcW w:type="dxa" w:w="4819"/>
            <w:shd w:val="clear" w:color="auto" w:fill="F2F2F2"/>
          </w:tcPr>
          <w:p>
            <w:pPr>
              <w:spacing w:after="40"/>
            </w:pPr>
            <w:r>
              <w:rPr>
                <w:b/>
              </w:rPr>
            </w:r>
            <w:r>
              <w:rPr>
                <w:b/>
              </w:rPr>
              <w:t>Details</w:t>
            </w:r>
          </w:p>
        </w:tc>
      </w:tr>
      <w:tr>
        <w:tc>
          <w:tcPr>
            <w:tcW w:type="dxa" w:w="4819"/>
          </w:tcPr>
          <w:p>
            <w:pPr>
              <w:spacing w:after="40"/>
            </w:pPr>
            <w:r/>
            <w:r>
              <w:t>Email</w:t>
            </w:r>
          </w:p>
        </w:tc>
        <w:tc>
          <w:tcPr>
            <w:tcW w:type="dxa" w:w="4819"/>
          </w:tcPr>
          <w:p>
            <w:pPr>
              <w:spacing w:after="40"/>
            </w:pPr>
            <w:r/>
            <w:r>
              <w:t>privacy@yourpracticename.com.au</w:t>
            </w:r>
          </w:p>
        </w:tc>
      </w:tr>
      <w:tr>
        <w:tc>
          <w:tcPr>
            <w:tcW w:type="dxa" w:w="4819"/>
          </w:tcPr>
          <w:p>
            <w:pPr>
              <w:spacing w:after="40"/>
            </w:pPr>
            <w:r/>
            <w:r>
              <w:t>Written letter</w:t>
            </w:r>
          </w:p>
        </w:tc>
        <w:tc>
          <w:tcPr>
            <w:tcW w:type="dxa" w:w="4819"/>
          </w:tcPr>
          <w:p>
            <w:pPr>
              <w:spacing w:after="40"/>
            </w:pPr>
            <w:r/>
            <w:r>
              <w:t>Privacy Officer, Your Practice Name, [registered business address]</w:t>
            </w:r>
          </w:p>
        </w:tc>
      </w:tr>
      <w:tr>
        <w:tc>
          <w:tcPr>
            <w:tcW w:type="dxa" w:w="4819"/>
          </w:tcPr>
          <w:p>
            <w:pPr>
              <w:spacing w:after="40"/>
            </w:pPr>
            <w:r/>
            <w:r>
              <w:t>Phone</w:t>
            </w:r>
          </w:p>
        </w:tc>
        <w:tc>
          <w:tcPr>
            <w:tcW w:type="dxa" w:w="4819"/>
          </w:tcPr>
          <w:p>
            <w:pPr>
              <w:spacing w:after="40"/>
            </w:pPr>
            <w:r/>
            <w:r>
              <w:t>[Privacy Officer phone]</w:t>
            </w:r>
          </w:p>
        </w:tc>
      </w:tr>
    </w:tbl>
    <w:p>
      <w:pPr>
        <w:spacing w:before="120"/>
      </w:pPr>
      <w:r>
        <w:rPr>
          <w:b/>
        </w:rPr>
        <w:t>Australian Business Number:</w:t>
      </w:r>
      <w:r>
        <w:t xml:space="preserve"> [Australian Business Number]</w:t>
      </w:r>
      <w:r>
        <w:t xml:space="preserve"> </w:t>
      </w:r>
      <w:r>
        <w:rPr>
          <w:b/>
        </w:rPr>
        <w:t>Australian Company Number:</w:t>
      </w:r>
      <w:r>
        <w:t xml:space="preserve"> [Australian Company Number]</w:t>
      </w:r>
    </w:p>
    <w:p>
      <w:pPr>
        <w:spacing w:before="120"/>
      </w:pPr>
      <w:r>
        <w:rPr>
          <w:b/>
        </w:rPr>
        <w:t>Notifiable Data Breaches:</w:t>
      </w:r>
      <w:r>
        <w:t xml:space="preserve"> To report a suspected data breach, contact the Privacy Officer using any channel above; we will follow our internal breach-response procedure and assess against the Notifiable Data Breaches scheme under Privacy Act Part IIIC.</w:t>
      </w:r>
    </w:p>
    <w:p>
      <w:r>
        <w:rPr>
          <w:b/>
        </w:rPr>
        <w:t>OAIC</w:t>
      </w:r>
    </w:p>
    <w:p>
      <w:r>
        <w:t>If you are not satisfied with our response, you may lodge a complaint with the OAIC:</w:t>
      </w:r>
    </w:p>
    <w:p>
      <w:pPr>
        <w:pStyle w:val="ListBullet"/>
      </w:pPr>
      <w:r>
        <w:t>Website: [www.oaic.gov.au](https://www.oaic.gov.au)</w:t>
      </w:r>
    </w:p>
    <w:p>
      <w:pPr>
        <w:pStyle w:val="ListBullet"/>
      </w:pPr>
      <w:r>
        <w:t>Phone: 1300 363 992</w:t>
      </w:r>
    </w:p>
    <w:p>
      <w:pPr>
        <w:pStyle w:val="ListBullet"/>
      </w:pPr>
      <w:r>
        <w:t>Post: GPO Box 5288, Sydney NSW 2001</w:t>
      </w:r>
    </w:p>
    <w:p>
      <w:r>
        <w:rPr>
          <w:i/>
        </w:rPr>
        <w:t>This Privacy Notice is published by Your Practice Name (Australian Business Number [Australian Business Number]) as part of its compliance with the Privacy Act 1988 (Cth). Last updated: 2026-05-10. Version: 1.1. For questions, contact our Privacy Officer using the channels in §12.</w:t>
      </w:r>
    </w:p>
    <w:p>
      <w:r>
        <w:rPr>
          <w:i/>
        </w:rPr>
        <w:t>Legal framework: Australian Privacy Act 1988 (Cth), Privacy Amendment (Notifiable Data Breaches) Act 2017, Anti-Money Laundering and Counter-Terrorism Financing Act 2006</w:t>
      </w:r>
    </w:p>
    <w:sectPr w:rsidR="00FC693F" w:rsidRPr="0006063C" w:rsidSect="00034616">
      <w:headerReference w:type="default" r:id="rId9"/>
      <w:footerReference w:type="default" r:id="rId10"/>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38" w:val="right"/>
      </w:tabs>
      <w:jc w:val="left"/>
    </w:pPr>
    <w:r>
      <w:rPr>
        <w:color w:val="999999"/>
        <w:sz w:val="16"/>
      </w:rPr>
      <w:t>Your Practice Name</w:t>
    </w:r>
    <w:r>
      <w:tab/>
    </w:r>
    <w:r>
      <w:rPr>
        <w:color w:val="999999"/>
        <w:sz w:val="16"/>
      </w:rPr>
      <w:t xml:space="preserve">PRIV-001 · Page </w:t>
    </w:r>
    <w:r>
      <w:rPr>
        <w:color w:val="999999"/>
        <w:sz w:val="16"/>
      </w:rPr>
      <w:fldChar w:fldCharType="begin"/>
    </w:r>
    <w:r>
      <w:rPr>
        <w:color w:val="999999"/>
        <w:sz w:val="16"/>
      </w:rPr>
      <w:instrText xml:space="preserve"> PAGE </w:instrText>
    </w:r>
    <w:r>
      <w:rPr>
        <w:color w:val="999999"/>
        <w:sz w:val="16"/>
      </w:rPr>
      <w:fldChar w:fldCharType="end"/>
    </w:r>
    <w:r>
      <w:rPr>
        <w:color w:val="999999"/>
        <w:sz w:val="16"/>
      </w:rPr>
      <w:t xml:space="preserve"> of </w:t>
    </w:r>
    <w:r>
      <w:rPr>
        <w:color w:val="999999"/>
        <w:sz w:val="16"/>
      </w:rPr>
      <w:fldChar w:fldCharType="begin"/>
    </w:r>
    <w:r>
      <w:rPr>
        <w:color w:val="999999"/>
        <w:sz w:val="16"/>
      </w:rPr>
      <w:instrText xml:space="preserve"> NUMPAGES </w:instrText>
    </w:r>
    <w:r>
      <w:rPr>
        <w:color w:val="999999"/>
        <w:sz w:val="16"/>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color w:val="444444"/>
        <w:sz w:val="20"/>
      </w:rPr>
      <w:t>Your Practice Name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line="276" w:lineRule="auto"/>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240" w:after="80" w:line="276" w:lineRule="auto"/>
      <w:outlineLvl w:val="1"/>
    </w:pPr>
    <w:rPr>
      <w:rFonts w:asciiTheme="majorHAnsi" w:eastAsiaTheme="majorEastAsia" w:hAnsiTheme="majorHAnsi" w:cstheme="majorBidi" w:ascii="Calibri" w:hAnsi="Calibri"/>
      <w:b/>
      <w:bCs/>
      <w:color w:val="1A1A1A"/>
      <w:sz w:val="24"/>
      <w:szCs w:val="26"/>
    </w:rPr>
  </w:style>
  <w:style w:type="paragraph" w:styleId="Heading3">
    <w:name w:val="heading 3"/>
    <w:basedOn w:val="Normal"/>
    <w:next w:val="Normal"/>
    <w:link w:val="Heading3Char"/>
    <w:uiPriority w:val="9"/>
    <w:unhideWhenUsed/>
    <w:qFormat/>
    <w:rsid w:val="00FC693F"/>
    <w:pPr>
      <w:keepNext/>
      <w:keepLines/>
      <w:spacing w:before="240" w:after="80" w:line="276" w:lineRule="auto"/>
      <w:outlineLvl w:val="2"/>
    </w:pPr>
    <w:rPr>
      <w:rFonts w:asciiTheme="majorHAnsi" w:eastAsiaTheme="majorEastAsia" w:hAnsiTheme="majorHAnsi" w:cstheme="majorBidi" w:ascii="Calibri" w:hAnsi="Calibri"/>
      <w:b/>
      <w:bCs/>
      <w:color w:val="1A1A1A"/>
      <w:sz w:val="22"/>
    </w:rPr>
  </w:style>
  <w:style w:type="paragraph" w:styleId="Heading4">
    <w:name w:val="heading 4"/>
    <w:basedOn w:val="Normal"/>
    <w:next w:val="Normal"/>
    <w:link w:val="Heading4Char"/>
    <w:uiPriority w:val="9"/>
    <w:semiHidden/>
    <w:unhideWhenUsed/>
    <w:qFormat/>
    <w:rsid w:val="00FC693F"/>
    <w:pPr>
      <w:keepNext/>
      <w:keepLines/>
      <w:spacing w:before="240" w:after="80" w:line="276" w:lineRule="auto"/>
      <w:outlineLvl w:val="3"/>
    </w:pPr>
    <w:rPr>
      <w:rFonts w:asciiTheme="majorHAnsi" w:eastAsiaTheme="majorEastAsia" w:hAnsiTheme="majorHAnsi" w:cstheme="majorBidi" w:ascii="Calibri" w:hAnsi="Calibri"/>
      <w:b/>
      <w:bCs/>
      <w:i/>
      <w:iCs/>
      <w:color w:val="1A1A1A"/>
      <w:sz w:val="21"/>
    </w:rPr>
  </w:style>
  <w:style w:type="paragraph" w:styleId="Heading5">
    <w:name w:val="heading 5"/>
    <w:basedOn w:val="Normal"/>
    <w:next w:val="Normal"/>
    <w:link w:val="Heading5Char"/>
    <w:uiPriority w:val="9"/>
    <w:semiHidden/>
    <w:unhideWhenUsed/>
    <w:qFormat/>
    <w:rsid w:val="00FC693F"/>
    <w:pPr>
      <w:keepNext/>
      <w:keepLines/>
      <w:spacing w:before="240" w:after="80" w:line="276" w:lineRule="auto"/>
      <w:outlineLvl w:val="4"/>
    </w:pPr>
    <w:rPr>
      <w:rFonts w:asciiTheme="majorHAnsi" w:eastAsiaTheme="majorEastAsia" w:hAnsiTheme="majorHAnsi" w:cstheme="majorBidi" w:ascii="Calibri" w:hAnsi="Calibri"/>
      <w:b/>
      <w:color w:val="1A1A1A"/>
      <w:sz w:val="2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